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4.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9EF93" w14:textId="24E77F0A" w:rsidR="006A5F73" w:rsidRPr="00575CC5" w:rsidRDefault="001F4851" w:rsidP="001F4851">
      <w:pPr>
        <w:pStyle w:val="Pagedecouverture"/>
        <w:rPr>
          <w:noProof/>
        </w:rPr>
      </w:pPr>
      <w:bookmarkStart w:id="0" w:name="LW_BM_COVERPAGE"/>
      <w:r>
        <w:rPr>
          <w:noProof/>
        </w:rPr>
        <w:pict w14:anchorId="5FD4C7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4A8448B-E93C-4EFF-A69C-0DBA6C0A5777" style="width:455.25pt;height:399pt">
            <v:imagedata r:id="rId11" o:title=""/>
          </v:shape>
        </w:pict>
      </w:r>
    </w:p>
    <w:bookmarkEnd w:id="0"/>
    <w:p w14:paraId="7D38ACF8" w14:textId="77777777" w:rsidR="006A5F73" w:rsidRPr="00575CC5" w:rsidRDefault="006A5F73" w:rsidP="006A5F73">
      <w:pPr>
        <w:rPr>
          <w:rFonts w:ascii="Times New Roman" w:hAnsi="Times New Roman" w:cs="Times New Roman"/>
          <w:noProof/>
        </w:rPr>
        <w:sectPr w:rsidR="006A5F73" w:rsidRPr="00575CC5" w:rsidSect="001F485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250ACBE" w14:textId="77777777" w:rsidR="008530D4" w:rsidRPr="00575CC5" w:rsidRDefault="008530D4" w:rsidP="008530D4">
      <w:pPr>
        <w:pStyle w:val="TOCHeading"/>
        <w:rPr>
          <w:noProof/>
          <w:szCs w:val="24"/>
        </w:rPr>
      </w:pPr>
      <w:bookmarkStart w:id="1" w:name="_GoBack"/>
      <w:bookmarkEnd w:id="1"/>
      <w:r w:rsidRPr="00575CC5">
        <w:rPr>
          <w:noProof/>
          <w:szCs w:val="24"/>
        </w:rPr>
        <w:lastRenderedPageBreak/>
        <w:t>Table of contents</w:t>
      </w:r>
    </w:p>
    <w:sdt>
      <w:sdtPr>
        <w:rPr>
          <w:rFonts w:asciiTheme="minorHAnsi" w:eastAsiaTheme="minorEastAsia" w:hAnsiTheme="minorHAnsi" w:cstheme="minorBidi"/>
          <w:b w:val="0"/>
          <w:noProof/>
          <w:sz w:val="22"/>
          <w:szCs w:val="24"/>
          <w:lang w:val="fr-BE"/>
        </w:rPr>
        <w:id w:val="486371014"/>
        <w:docPartObj>
          <w:docPartGallery w:val="Table of Contents"/>
          <w:docPartUnique/>
        </w:docPartObj>
      </w:sdtPr>
      <w:sdtEndPr>
        <w:rPr>
          <w:lang w:val="en-GB"/>
        </w:rPr>
      </w:sdtEndPr>
      <w:sdtContent>
        <w:p w14:paraId="7CCA2BBE" w14:textId="37CAF4A9" w:rsidR="00691B39" w:rsidRPr="00F02686" w:rsidRDefault="00691B39">
          <w:pPr>
            <w:pStyle w:val="TOCHeading"/>
            <w:rPr>
              <w:noProof/>
              <w:szCs w:val="24"/>
            </w:rPr>
          </w:pPr>
        </w:p>
        <w:p w14:paraId="2948B7C6" w14:textId="1BA9EF8F" w:rsidR="00841BA1" w:rsidRPr="00F02686" w:rsidRDefault="00691B39">
          <w:pPr>
            <w:pStyle w:val="TOC1"/>
            <w:rPr>
              <w:rFonts w:eastAsiaTheme="minorEastAsia"/>
              <w:caps w:val="0"/>
              <w:noProof/>
              <w:kern w:val="2"/>
              <w:sz w:val="24"/>
              <w:szCs w:val="24"/>
              <w:lang w:val="en-IE" w:eastAsia="en-IE"/>
              <w14:ligatures w14:val="standardContextual"/>
            </w:rPr>
          </w:pPr>
          <w:r w:rsidRPr="00F02686">
            <w:rPr>
              <w:noProof/>
              <w:sz w:val="24"/>
              <w:szCs w:val="24"/>
            </w:rPr>
            <w:fldChar w:fldCharType="begin"/>
          </w:r>
          <w:r w:rsidRPr="00F02686">
            <w:rPr>
              <w:noProof/>
              <w:sz w:val="24"/>
              <w:szCs w:val="24"/>
            </w:rPr>
            <w:instrText xml:space="preserve"> TOC \o "1-3" \h \z \u </w:instrText>
          </w:r>
          <w:r w:rsidRPr="00F02686">
            <w:rPr>
              <w:noProof/>
              <w:sz w:val="24"/>
              <w:szCs w:val="24"/>
            </w:rPr>
            <w:fldChar w:fldCharType="separate"/>
          </w:r>
          <w:hyperlink w:anchor="_Toc223439242" w:history="1">
            <w:r w:rsidR="00841BA1" w:rsidRPr="00F02686">
              <w:rPr>
                <w:rStyle w:val="Hyperlink"/>
                <w:noProof/>
                <w:sz w:val="24"/>
                <w:szCs w:val="24"/>
              </w:rPr>
              <w:t>1.</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Introduction</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_Toc223439242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3</w:t>
            </w:r>
            <w:r w:rsidR="00841BA1" w:rsidRPr="00F02686">
              <w:rPr>
                <w:noProof/>
                <w:webHidden/>
                <w:sz w:val="24"/>
                <w:szCs w:val="24"/>
              </w:rPr>
              <w:fldChar w:fldCharType="end"/>
            </w:r>
          </w:hyperlink>
        </w:p>
        <w:p w14:paraId="65BEE7D1" w14:textId="40E394B7" w:rsidR="00841BA1" w:rsidRPr="00F02686" w:rsidRDefault="001F4851">
          <w:pPr>
            <w:pStyle w:val="TOC2"/>
            <w:tabs>
              <w:tab w:val="left" w:pos="96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43" w:history="1">
            <w:r w:rsidR="00841BA1" w:rsidRPr="00F02686">
              <w:rPr>
                <w:rStyle w:val="Hyperlink"/>
                <w:rFonts w:ascii="Times New Roman" w:hAnsi="Times New Roman" w:cs="Times New Roman"/>
                <w:noProof/>
                <w:sz w:val="24"/>
                <w:szCs w:val="24"/>
              </w:rPr>
              <w:t>1.1</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General introduction</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_Toc223439243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w:t>
            </w:r>
            <w:r w:rsidR="00841BA1" w:rsidRPr="00F02686">
              <w:rPr>
                <w:rFonts w:ascii="Times New Roman" w:hAnsi="Times New Roman" w:cs="Times New Roman"/>
                <w:noProof/>
                <w:webHidden/>
                <w:sz w:val="24"/>
                <w:szCs w:val="24"/>
              </w:rPr>
              <w:fldChar w:fldCharType="end"/>
            </w:r>
          </w:hyperlink>
        </w:p>
        <w:p w14:paraId="67D0224D" w14:textId="4F15D0C9" w:rsidR="00841BA1" w:rsidRPr="00F02686" w:rsidRDefault="001F4851">
          <w:pPr>
            <w:pStyle w:val="TOC2"/>
            <w:tabs>
              <w:tab w:val="left" w:pos="96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44" w:history="1">
            <w:r w:rsidR="00841BA1" w:rsidRPr="00F02686">
              <w:rPr>
                <w:rStyle w:val="Hyperlink"/>
                <w:rFonts w:ascii="Times New Roman" w:hAnsi="Times New Roman" w:cs="Times New Roman"/>
                <w:noProof/>
                <w:sz w:val="24"/>
                <w:szCs w:val="24"/>
              </w:rPr>
              <w:t>1.2</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Purpose and scope of the evaluation</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_Toc223439244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w:t>
            </w:r>
            <w:r w:rsidR="00841BA1" w:rsidRPr="00F02686">
              <w:rPr>
                <w:rFonts w:ascii="Times New Roman" w:hAnsi="Times New Roman" w:cs="Times New Roman"/>
                <w:noProof/>
                <w:webHidden/>
                <w:sz w:val="24"/>
                <w:szCs w:val="24"/>
              </w:rPr>
              <w:fldChar w:fldCharType="end"/>
            </w:r>
          </w:hyperlink>
        </w:p>
        <w:p w14:paraId="36C0DAF6" w14:textId="73214B2D" w:rsidR="00841BA1" w:rsidRPr="00F02686" w:rsidRDefault="001F4851">
          <w:pPr>
            <w:pStyle w:val="TOC2"/>
            <w:tabs>
              <w:tab w:val="left" w:pos="96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45" w:history="1">
            <w:r w:rsidR="00841BA1" w:rsidRPr="00F02686">
              <w:rPr>
                <w:rStyle w:val="Hyperlink"/>
                <w:rFonts w:ascii="Times New Roman" w:hAnsi="Times New Roman" w:cs="Times New Roman"/>
                <w:noProof/>
                <w:sz w:val="24"/>
                <w:szCs w:val="24"/>
              </w:rPr>
              <w:t>1.3</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Methodology of the evaluation</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_Toc223439245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4</w:t>
            </w:r>
            <w:r w:rsidR="00841BA1" w:rsidRPr="00F02686">
              <w:rPr>
                <w:rFonts w:ascii="Times New Roman" w:hAnsi="Times New Roman" w:cs="Times New Roman"/>
                <w:noProof/>
                <w:webHidden/>
                <w:sz w:val="24"/>
                <w:szCs w:val="24"/>
              </w:rPr>
              <w:fldChar w:fldCharType="end"/>
            </w:r>
          </w:hyperlink>
        </w:p>
        <w:p w14:paraId="1F9CD3EE" w14:textId="68683DF6"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46" w:history="1">
            <w:r w:rsidR="00841BA1" w:rsidRPr="00F02686">
              <w:rPr>
                <w:rStyle w:val="Hyperlink"/>
                <w:noProof/>
                <w:sz w:val="24"/>
                <w:szCs w:val="24"/>
              </w:rPr>
              <w:t>2.</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lang w:val="en-IE"/>
              </w:rPr>
              <w:t>What was the expected outcome of the intervention?</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_Toc223439246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5</w:t>
            </w:r>
            <w:r w:rsidR="00841BA1" w:rsidRPr="00F02686">
              <w:rPr>
                <w:noProof/>
                <w:webHidden/>
                <w:sz w:val="24"/>
                <w:szCs w:val="24"/>
              </w:rPr>
              <w:fldChar w:fldCharType="end"/>
            </w:r>
          </w:hyperlink>
        </w:p>
        <w:p w14:paraId="5E7B0CA7" w14:textId="0E81CB83" w:rsidR="00841BA1" w:rsidRPr="00F02686" w:rsidRDefault="001F4851">
          <w:pPr>
            <w:pStyle w:val="TOC2"/>
            <w:tabs>
              <w:tab w:val="left" w:pos="96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47" w:history="1">
            <w:r w:rsidR="00841BA1" w:rsidRPr="00F02686">
              <w:rPr>
                <w:rStyle w:val="Hyperlink"/>
                <w:rFonts w:ascii="Times New Roman" w:hAnsi="Times New Roman" w:cs="Times New Roman"/>
                <w:noProof/>
                <w:sz w:val="24"/>
                <w:szCs w:val="24"/>
              </w:rPr>
              <w:t>2.1</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Description of the main elements and objectives of Directive (EU) 2018/1673 on combating money laundering by criminal law</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_Toc223439247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5</w:t>
            </w:r>
            <w:r w:rsidR="00841BA1" w:rsidRPr="00F02686">
              <w:rPr>
                <w:rFonts w:ascii="Times New Roman" w:hAnsi="Times New Roman" w:cs="Times New Roman"/>
                <w:noProof/>
                <w:webHidden/>
                <w:sz w:val="24"/>
                <w:szCs w:val="24"/>
              </w:rPr>
              <w:fldChar w:fldCharType="end"/>
            </w:r>
          </w:hyperlink>
        </w:p>
        <w:p w14:paraId="31A14F8A" w14:textId="253FF9E4"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48" w:history="1">
            <w:r w:rsidR="00841BA1" w:rsidRPr="00F02686">
              <w:rPr>
                <w:rStyle w:val="Hyperlink"/>
                <w:noProof/>
                <w:sz w:val="24"/>
                <w:szCs w:val="24"/>
              </w:rPr>
              <w:t>3.</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How has the situation evolved over the evaluation period?</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_Toc223439248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8</w:t>
            </w:r>
            <w:r w:rsidR="00841BA1" w:rsidRPr="00F02686">
              <w:rPr>
                <w:noProof/>
                <w:webHidden/>
                <w:sz w:val="24"/>
                <w:szCs w:val="24"/>
              </w:rPr>
              <w:fldChar w:fldCharType="end"/>
            </w:r>
          </w:hyperlink>
        </w:p>
        <w:p w14:paraId="1475380D" w14:textId="2CF11441"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49" w:history="1">
            <w:r w:rsidR="00841BA1" w:rsidRPr="00F02686">
              <w:rPr>
                <w:rStyle w:val="Hyperlink"/>
                <w:rFonts w:ascii="Times New Roman" w:hAnsi="Times New Roman" w:cs="Times New Roman"/>
                <w:noProof/>
                <w:sz w:val="24"/>
                <w:szCs w:val="24"/>
              </w:rPr>
              <w:t>3.1 Transposition</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_Toc223439249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8</w:t>
            </w:r>
            <w:r w:rsidR="00841BA1" w:rsidRPr="00F02686">
              <w:rPr>
                <w:rFonts w:ascii="Times New Roman" w:hAnsi="Times New Roman" w:cs="Times New Roman"/>
                <w:noProof/>
                <w:webHidden/>
                <w:sz w:val="24"/>
                <w:szCs w:val="24"/>
              </w:rPr>
              <w:fldChar w:fldCharType="end"/>
            </w:r>
          </w:hyperlink>
        </w:p>
        <w:p w14:paraId="6FF4192C" w14:textId="0CFF76A8"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50" w:history="1">
            <w:r w:rsidR="00841BA1" w:rsidRPr="00F02686">
              <w:rPr>
                <w:rStyle w:val="Hyperlink"/>
                <w:rFonts w:ascii="Times New Roman" w:hAnsi="Times New Roman" w:cs="Times New Roman"/>
                <w:noProof/>
                <w:sz w:val="24"/>
                <w:szCs w:val="24"/>
              </w:rPr>
              <w:t>3.2 Other developments in the field</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_Toc223439250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8</w:t>
            </w:r>
            <w:r w:rsidR="00841BA1" w:rsidRPr="00F02686">
              <w:rPr>
                <w:rFonts w:ascii="Times New Roman" w:hAnsi="Times New Roman" w:cs="Times New Roman"/>
                <w:noProof/>
                <w:webHidden/>
                <w:sz w:val="24"/>
                <w:szCs w:val="24"/>
              </w:rPr>
              <w:fldChar w:fldCharType="end"/>
            </w:r>
          </w:hyperlink>
        </w:p>
        <w:p w14:paraId="02768DA5" w14:textId="49E55461"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51" w:history="1">
            <w:r w:rsidR="00841BA1" w:rsidRPr="00F02686">
              <w:rPr>
                <w:rStyle w:val="Hyperlink"/>
                <w:noProof/>
                <w:sz w:val="24"/>
                <w:szCs w:val="24"/>
              </w:rPr>
              <w:t>4.</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Evaluation findings (analytical part)</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_Toc223439251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9</w:t>
            </w:r>
            <w:r w:rsidR="00841BA1" w:rsidRPr="00F02686">
              <w:rPr>
                <w:noProof/>
                <w:webHidden/>
                <w:sz w:val="24"/>
                <w:szCs w:val="24"/>
              </w:rPr>
              <w:fldChar w:fldCharType="end"/>
            </w:r>
          </w:hyperlink>
        </w:p>
        <w:p w14:paraId="1924B2B5" w14:textId="344C32B7"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52" w:history="1">
            <w:r w:rsidR="00841BA1" w:rsidRPr="00F02686">
              <w:rPr>
                <w:rStyle w:val="Hyperlink"/>
                <w:noProof/>
                <w:sz w:val="24"/>
                <w:szCs w:val="24"/>
              </w:rPr>
              <w:t>4.1.</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To what extent was the intervention successful and why?</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_Toc223439252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9</w:t>
            </w:r>
            <w:r w:rsidR="00841BA1" w:rsidRPr="00F02686">
              <w:rPr>
                <w:noProof/>
                <w:webHidden/>
                <w:sz w:val="24"/>
                <w:szCs w:val="24"/>
              </w:rPr>
              <w:fldChar w:fldCharType="end"/>
            </w:r>
          </w:hyperlink>
        </w:p>
        <w:p w14:paraId="2FE89356" w14:textId="4B6C667E" w:rsidR="00841BA1" w:rsidRPr="00F02686" w:rsidRDefault="001F4851">
          <w:pPr>
            <w:pStyle w:val="TOC3"/>
            <w:tabs>
              <w:tab w:val="right" w:leader="dot" w:pos="8608"/>
            </w:tabs>
            <w:rPr>
              <w:rFonts w:ascii="Times New Roman" w:hAnsi="Times New Roman"/>
              <w:noProof/>
              <w:kern w:val="2"/>
              <w:sz w:val="24"/>
              <w:szCs w:val="24"/>
              <w:lang w:val="en-IE" w:eastAsia="en-IE"/>
              <w14:ligatures w14:val="standardContextual"/>
            </w:rPr>
          </w:pPr>
          <w:hyperlink w:anchor="_Toc223439253" w:history="1">
            <w:r w:rsidR="00841BA1" w:rsidRPr="00F02686">
              <w:rPr>
                <w:rStyle w:val="Hyperlink"/>
                <w:rFonts w:ascii="Times New Roman" w:hAnsi="Times New Roman"/>
                <w:noProof/>
                <w:sz w:val="24"/>
                <w:szCs w:val="24"/>
                <w:lang w:val="en-IE"/>
              </w:rPr>
              <w:t>4.1.1 Effectiveness</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_Toc223439253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9</w:t>
            </w:r>
            <w:r w:rsidR="00841BA1" w:rsidRPr="00F02686">
              <w:rPr>
                <w:rFonts w:ascii="Times New Roman" w:hAnsi="Times New Roman"/>
                <w:noProof/>
                <w:webHidden/>
                <w:sz w:val="24"/>
                <w:szCs w:val="24"/>
              </w:rPr>
              <w:fldChar w:fldCharType="end"/>
            </w:r>
          </w:hyperlink>
        </w:p>
        <w:p w14:paraId="086922F6" w14:textId="06310AC0" w:rsidR="00841BA1" w:rsidRPr="00F02686" w:rsidRDefault="001F4851">
          <w:pPr>
            <w:pStyle w:val="TOC3"/>
            <w:tabs>
              <w:tab w:val="right" w:leader="dot" w:pos="8608"/>
            </w:tabs>
            <w:rPr>
              <w:rFonts w:ascii="Times New Roman" w:hAnsi="Times New Roman"/>
              <w:noProof/>
              <w:kern w:val="2"/>
              <w:sz w:val="24"/>
              <w:szCs w:val="24"/>
              <w:lang w:val="en-IE" w:eastAsia="en-IE"/>
              <w14:ligatures w14:val="standardContextual"/>
            </w:rPr>
          </w:pPr>
          <w:hyperlink w:anchor="_Toc223439254" w:history="1">
            <w:r w:rsidR="00841BA1" w:rsidRPr="00F02686">
              <w:rPr>
                <w:rStyle w:val="Hyperlink"/>
                <w:rFonts w:ascii="Times New Roman" w:hAnsi="Times New Roman"/>
                <w:noProof/>
                <w:sz w:val="24"/>
                <w:szCs w:val="24"/>
                <w:lang w:val="en-IE"/>
              </w:rPr>
              <w:t>4.1.2. Efficiency</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_Toc223439254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23</w:t>
            </w:r>
            <w:r w:rsidR="00841BA1" w:rsidRPr="00F02686">
              <w:rPr>
                <w:rFonts w:ascii="Times New Roman" w:hAnsi="Times New Roman"/>
                <w:noProof/>
                <w:webHidden/>
                <w:sz w:val="24"/>
                <w:szCs w:val="24"/>
              </w:rPr>
              <w:fldChar w:fldCharType="end"/>
            </w:r>
          </w:hyperlink>
        </w:p>
        <w:p w14:paraId="446EED3E" w14:textId="467A71AB"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55" w:history="1">
            <w:r w:rsidR="00841BA1" w:rsidRPr="00F02686">
              <w:rPr>
                <w:rStyle w:val="Hyperlink"/>
                <w:noProof/>
                <w:sz w:val="24"/>
                <w:szCs w:val="24"/>
              </w:rPr>
              <w:t>4.2.</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How did the EU intervention make a difference and to whom?</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_Toc223439255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29</w:t>
            </w:r>
            <w:r w:rsidR="00841BA1" w:rsidRPr="00F02686">
              <w:rPr>
                <w:noProof/>
                <w:webHidden/>
                <w:sz w:val="24"/>
                <w:szCs w:val="24"/>
              </w:rPr>
              <w:fldChar w:fldCharType="end"/>
            </w:r>
          </w:hyperlink>
        </w:p>
        <w:p w14:paraId="6E902E00" w14:textId="44BDD415" w:rsidR="00841BA1" w:rsidRPr="00F02686" w:rsidRDefault="001F4851">
          <w:pPr>
            <w:pStyle w:val="TOC3"/>
            <w:tabs>
              <w:tab w:val="right" w:leader="dot" w:pos="8608"/>
            </w:tabs>
            <w:rPr>
              <w:rFonts w:ascii="Times New Roman" w:hAnsi="Times New Roman"/>
              <w:noProof/>
              <w:kern w:val="2"/>
              <w:sz w:val="24"/>
              <w:szCs w:val="24"/>
              <w:lang w:val="en-IE" w:eastAsia="en-IE"/>
              <w14:ligatures w14:val="standardContextual"/>
            </w:rPr>
          </w:pPr>
          <w:hyperlink w:anchor="_Toc223439256" w:history="1">
            <w:r w:rsidR="00841BA1" w:rsidRPr="00F02686">
              <w:rPr>
                <w:rStyle w:val="Hyperlink"/>
                <w:rFonts w:ascii="Times New Roman" w:hAnsi="Times New Roman"/>
                <w:noProof/>
                <w:sz w:val="24"/>
                <w:szCs w:val="24"/>
                <w:lang w:val="en-IE"/>
              </w:rPr>
              <w:t>4.2.1 EU added value</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_Toc223439256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29</w:t>
            </w:r>
            <w:r w:rsidR="00841BA1" w:rsidRPr="00F02686">
              <w:rPr>
                <w:rFonts w:ascii="Times New Roman" w:hAnsi="Times New Roman"/>
                <w:noProof/>
                <w:webHidden/>
                <w:sz w:val="24"/>
                <w:szCs w:val="24"/>
              </w:rPr>
              <w:fldChar w:fldCharType="end"/>
            </w:r>
          </w:hyperlink>
        </w:p>
        <w:p w14:paraId="2C41A4F8" w14:textId="75CB136E" w:rsidR="00841BA1" w:rsidRPr="00F02686" w:rsidRDefault="001F4851">
          <w:pPr>
            <w:pStyle w:val="TOC3"/>
            <w:tabs>
              <w:tab w:val="right" w:leader="dot" w:pos="8608"/>
            </w:tabs>
            <w:rPr>
              <w:rFonts w:ascii="Times New Roman" w:hAnsi="Times New Roman"/>
              <w:noProof/>
              <w:kern w:val="2"/>
              <w:sz w:val="24"/>
              <w:szCs w:val="24"/>
              <w:lang w:val="en-IE" w:eastAsia="en-IE"/>
              <w14:ligatures w14:val="standardContextual"/>
            </w:rPr>
          </w:pPr>
          <w:hyperlink w:anchor="_Toc223439257" w:history="1">
            <w:r w:rsidR="00841BA1" w:rsidRPr="00F02686">
              <w:rPr>
                <w:rStyle w:val="Hyperlink"/>
                <w:rFonts w:ascii="Times New Roman" w:hAnsi="Times New Roman"/>
                <w:noProof/>
                <w:sz w:val="24"/>
                <w:szCs w:val="24"/>
                <w:lang w:val="en-IE"/>
              </w:rPr>
              <w:t>4.2.2. Fundamental rights and freedoms</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_Toc223439257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30</w:t>
            </w:r>
            <w:r w:rsidR="00841BA1" w:rsidRPr="00F02686">
              <w:rPr>
                <w:rFonts w:ascii="Times New Roman" w:hAnsi="Times New Roman"/>
                <w:noProof/>
                <w:webHidden/>
                <w:sz w:val="24"/>
                <w:szCs w:val="24"/>
              </w:rPr>
              <w:fldChar w:fldCharType="end"/>
            </w:r>
          </w:hyperlink>
        </w:p>
        <w:p w14:paraId="6D629861" w14:textId="36F038D8"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58" w:history="1">
            <w:r w:rsidR="00841BA1" w:rsidRPr="00F02686">
              <w:rPr>
                <w:rStyle w:val="Hyperlink"/>
                <w:noProof/>
                <w:sz w:val="24"/>
                <w:szCs w:val="24"/>
              </w:rPr>
              <w:t>4.3.</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Is the intervention still relevant?</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_Toc223439258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34</w:t>
            </w:r>
            <w:r w:rsidR="00841BA1" w:rsidRPr="00F02686">
              <w:rPr>
                <w:noProof/>
                <w:webHidden/>
                <w:sz w:val="24"/>
                <w:szCs w:val="24"/>
              </w:rPr>
              <w:fldChar w:fldCharType="end"/>
            </w:r>
          </w:hyperlink>
        </w:p>
        <w:p w14:paraId="7A7CBCB8" w14:textId="4B6E3DCA" w:rsidR="00841BA1" w:rsidRPr="00F02686" w:rsidRDefault="001F4851">
          <w:pPr>
            <w:pStyle w:val="TOC3"/>
            <w:tabs>
              <w:tab w:val="right" w:leader="dot" w:pos="8608"/>
            </w:tabs>
            <w:rPr>
              <w:rFonts w:ascii="Times New Roman" w:hAnsi="Times New Roman"/>
              <w:noProof/>
              <w:kern w:val="2"/>
              <w:sz w:val="24"/>
              <w:szCs w:val="24"/>
              <w:lang w:val="en-IE" w:eastAsia="en-IE"/>
              <w14:ligatures w14:val="standardContextual"/>
            </w:rPr>
          </w:pPr>
          <w:hyperlink w:anchor="_Toc223439259" w:history="1">
            <w:r w:rsidR="00841BA1" w:rsidRPr="00F02686">
              <w:rPr>
                <w:rStyle w:val="Hyperlink"/>
                <w:rFonts w:ascii="Times New Roman" w:hAnsi="Times New Roman"/>
                <w:noProof/>
                <w:sz w:val="24"/>
                <w:szCs w:val="24"/>
                <w:lang w:val="en-IE"/>
              </w:rPr>
              <w:t>4.3.1. Current and future threats and needs concerning the development of organised crime, particularly focusing on evolving money laundering activities</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_Toc223439259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34</w:t>
            </w:r>
            <w:r w:rsidR="00841BA1" w:rsidRPr="00F02686">
              <w:rPr>
                <w:rFonts w:ascii="Times New Roman" w:hAnsi="Times New Roman"/>
                <w:noProof/>
                <w:webHidden/>
                <w:sz w:val="24"/>
                <w:szCs w:val="24"/>
              </w:rPr>
              <w:fldChar w:fldCharType="end"/>
            </w:r>
          </w:hyperlink>
        </w:p>
        <w:p w14:paraId="1E60C5DF" w14:textId="0021FCE2" w:rsidR="00841BA1" w:rsidRPr="00F02686" w:rsidRDefault="001F4851">
          <w:pPr>
            <w:pStyle w:val="TOC3"/>
            <w:tabs>
              <w:tab w:val="right" w:leader="dot" w:pos="8608"/>
            </w:tabs>
            <w:rPr>
              <w:rFonts w:ascii="Times New Roman" w:hAnsi="Times New Roman"/>
              <w:noProof/>
              <w:kern w:val="2"/>
              <w:sz w:val="24"/>
              <w:szCs w:val="24"/>
              <w:lang w:val="en-IE" w:eastAsia="en-IE"/>
              <w14:ligatures w14:val="standardContextual"/>
            </w:rPr>
          </w:pPr>
          <w:hyperlink w:anchor="_Toc223439260" w:history="1">
            <w:r w:rsidR="00841BA1" w:rsidRPr="00F02686">
              <w:rPr>
                <w:rStyle w:val="Hyperlink"/>
                <w:rFonts w:ascii="Times New Roman" w:eastAsia="Times New Roman" w:hAnsi="Times New Roman"/>
                <w:noProof/>
                <w:sz w:val="24"/>
                <w:szCs w:val="24"/>
              </w:rPr>
              <w:t>4.3.2. Remaining obstacles/legal and practical issues in the fight against money laundering</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_Toc223439260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34</w:t>
            </w:r>
            <w:r w:rsidR="00841BA1" w:rsidRPr="00F02686">
              <w:rPr>
                <w:rFonts w:ascii="Times New Roman" w:hAnsi="Times New Roman"/>
                <w:noProof/>
                <w:webHidden/>
                <w:sz w:val="24"/>
                <w:szCs w:val="24"/>
              </w:rPr>
              <w:fldChar w:fldCharType="end"/>
            </w:r>
          </w:hyperlink>
        </w:p>
        <w:p w14:paraId="0193CC90" w14:textId="42F38B53"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61" w:history="1">
            <w:r w:rsidR="00841BA1" w:rsidRPr="00F02686">
              <w:rPr>
                <w:rStyle w:val="Hyperlink"/>
                <w:noProof/>
                <w:sz w:val="24"/>
                <w:szCs w:val="24"/>
              </w:rPr>
              <w:t>5.</w:t>
            </w:r>
            <w:r w:rsidR="00841BA1" w:rsidRPr="00F02686">
              <w:rPr>
                <w:rFonts w:eastAsiaTheme="minorEastAsia"/>
                <w:caps w:val="0"/>
                <w:noProof/>
                <w:kern w:val="2"/>
                <w:sz w:val="24"/>
                <w:szCs w:val="24"/>
                <w:lang w:val="en-IE" w:eastAsia="en-IE"/>
                <w14:ligatures w14:val="standardContextual"/>
              </w:rPr>
              <w:tab/>
            </w:r>
            <w:r w:rsidR="00841BA1" w:rsidRPr="00F02686">
              <w:rPr>
                <w:rStyle w:val="Hyperlink"/>
                <w:noProof/>
                <w:sz w:val="24"/>
                <w:szCs w:val="24"/>
              </w:rPr>
              <w:t>What are the conclusions and lessons learned?</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_Toc223439261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35</w:t>
            </w:r>
            <w:r w:rsidR="00841BA1" w:rsidRPr="00F02686">
              <w:rPr>
                <w:noProof/>
                <w:webHidden/>
                <w:sz w:val="24"/>
                <w:szCs w:val="24"/>
              </w:rPr>
              <w:fldChar w:fldCharType="end"/>
            </w:r>
          </w:hyperlink>
        </w:p>
        <w:p w14:paraId="1E1B6DE8" w14:textId="5AC8FDD0"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62" w:history="1">
            <w:r w:rsidR="00841BA1" w:rsidRPr="00F02686">
              <w:rPr>
                <w:rStyle w:val="Hyperlink"/>
                <w:noProof/>
                <w:sz w:val="24"/>
                <w:szCs w:val="24"/>
              </w:rPr>
              <w:t>Annex I. Procedural Information</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_Toc223439262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38</w:t>
            </w:r>
            <w:r w:rsidR="00841BA1" w:rsidRPr="00F02686">
              <w:rPr>
                <w:noProof/>
                <w:webHidden/>
                <w:sz w:val="24"/>
                <w:szCs w:val="24"/>
              </w:rPr>
              <w:fldChar w:fldCharType="end"/>
            </w:r>
          </w:hyperlink>
        </w:p>
        <w:p w14:paraId="1D541C99" w14:textId="6F0F1F43"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63" w:history="1">
            <w:r w:rsidR="00841BA1" w:rsidRPr="00F02686">
              <w:rPr>
                <w:rStyle w:val="Hyperlink"/>
                <w:rFonts w:ascii="Times New Roman" w:hAnsi="Times New Roman" w:cs="Times New Roman"/>
                <w:noProof/>
                <w:sz w:val="24"/>
                <w:szCs w:val="24"/>
                <w:lang w:val="en-IE"/>
              </w:rPr>
              <w:t>1. Lead DG</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_Toc223439263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38</w:t>
            </w:r>
            <w:r w:rsidR="00841BA1" w:rsidRPr="00F02686">
              <w:rPr>
                <w:rFonts w:ascii="Times New Roman" w:hAnsi="Times New Roman" w:cs="Times New Roman"/>
                <w:noProof/>
                <w:webHidden/>
                <w:sz w:val="24"/>
                <w:szCs w:val="24"/>
              </w:rPr>
              <w:fldChar w:fldCharType="end"/>
            </w:r>
          </w:hyperlink>
        </w:p>
        <w:p w14:paraId="3ED9EB38" w14:textId="133ADE86"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64" w:history="1">
            <w:r w:rsidR="00841BA1" w:rsidRPr="00F02686">
              <w:rPr>
                <w:rStyle w:val="Hyperlink"/>
                <w:rFonts w:ascii="Times New Roman" w:hAnsi="Times New Roman" w:cs="Times New Roman"/>
                <w:noProof/>
                <w:sz w:val="24"/>
                <w:szCs w:val="24"/>
                <w:lang w:val="en-IE"/>
              </w:rPr>
              <w:t>2. Organisation and timing</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_Toc223439264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38</w:t>
            </w:r>
            <w:r w:rsidR="00841BA1" w:rsidRPr="00F02686">
              <w:rPr>
                <w:rFonts w:ascii="Times New Roman" w:hAnsi="Times New Roman" w:cs="Times New Roman"/>
                <w:noProof/>
                <w:webHidden/>
                <w:sz w:val="24"/>
                <w:szCs w:val="24"/>
              </w:rPr>
              <w:fldChar w:fldCharType="end"/>
            </w:r>
          </w:hyperlink>
        </w:p>
        <w:p w14:paraId="49218611" w14:textId="5643EF6A"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65" w:history="1">
            <w:r w:rsidR="00841BA1" w:rsidRPr="00F02686">
              <w:rPr>
                <w:rStyle w:val="Hyperlink"/>
                <w:rFonts w:ascii="Times New Roman" w:hAnsi="Times New Roman" w:cs="Times New Roman"/>
                <w:noProof/>
                <w:sz w:val="24"/>
                <w:szCs w:val="24"/>
                <w:lang w:val="en-IE"/>
              </w:rPr>
              <w:t>3. Evidence, sources and quality</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_Toc223439265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38</w:t>
            </w:r>
            <w:r w:rsidR="00841BA1" w:rsidRPr="00F02686">
              <w:rPr>
                <w:rFonts w:ascii="Times New Roman" w:hAnsi="Times New Roman" w:cs="Times New Roman"/>
                <w:noProof/>
                <w:webHidden/>
                <w:sz w:val="24"/>
                <w:szCs w:val="24"/>
              </w:rPr>
              <w:fldChar w:fldCharType="end"/>
            </w:r>
          </w:hyperlink>
        </w:p>
        <w:p w14:paraId="26211DAF" w14:textId="637530D1"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66" w:history="1">
            <w:r w:rsidR="00841BA1" w:rsidRPr="00F02686">
              <w:rPr>
                <w:rStyle w:val="Hyperlink"/>
                <w:noProof/>
                <w:sz w:val="24"/>
                <w:szCs w:val="24"/>
              </w:rPr>
              <w:t>Annex II. Methodology and Analytical models used</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_Toc223439266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39</w:t>
            </w:r>
            <w:r w:rsidR="00841BA1" w:rsidRPr="00F02686">
              <w:rPr>
                <w:noProof/>
                <w:webHidden/>
                <w:sz w:val="24"/>
                <w:szCs w:val="24"/>
              </w:rPr>
              <w:fldChar w:fldCharType="end"/>
            </w:r>
          </w:hyperlink>
        </w:p>
        <w:p w14:paraId="5F7C7E71" w14:textId="250C97EC"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67" w:history="1">
            <w:r w:rsidR="00841BA1" w:rsidRPr="00F02686">
              <w:rPr>
                <w:rStyle w:val="Hyperlink"/>
                <w:rFonts w:ascii="Times New Roman" w:hAnsi="Times New Roman" w:cs="Times New Roman"/>
                <w:noProof/>
                <w:sz w:val="24"/>
                <w:szCs w:val="24"/>
              </w:rPr>
              <w:t>1.</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Methods and sources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_Toc223439267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39</w:t>
            </w:r>
            <w:r w:rsidR="00841BA1" w:rsidRPr="00F02686">
              <w:rPr>
                <w:rFonts w:ascii="Times New Roman" w:hAnsi="Times New Roman" w:cs="Times New Roman"/>
                <w:noProof/>
                <w:webHidden/>
                <w:sz w:val="24"/>
                <w:szCs w:val="24"/>
              </w:rPr>
              <w:fldChar w:fldCharType="end"/>
            </w:r>
          </w:hyperlink>
        </w:p>
        <w:p w14:paraId="460B93E9" w14:textId="515DAE97"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68" w:history="1">
            <w:r w:rsidR="00841BA1" w:rsidRPr="00F02686">
              <w:rPr>
                <w:rStyle w:val="Hyperlink"/>
                <w:rFonts w:ascii="Times New Roman" w:hAnsi="Times New Roman" w:cs="Times New Roman"/>
                <w:noProof/>
                <w:sz w:val="24"/>
                <w:szCs w:val="24"/>
              </w:rPr>
              <w:t>2.</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Known limitations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_Toc223439268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39</w:t>
            </w:r>
            <w:r w:rsidR="00841BA1" w:rsidRPr="00F02686">
              <w:rPr>
                <w:rFonts w:ascii="Times New Roman" w:hAnsi="Times New Roman" w:cs="Times New Roman"/>
                <w:noProof/>
                <w:webHidden/>
                <w:sz w:val="24"/>
                <w:szCs w:val="24"/>
              </w:rPr>
              <w:fldChar w:fldCharType="end"/>
            </w:r>
          </w:hyperlink>
        </w:p>
        <w:p w14:paraId="453629D6" w14:textId="6E2D2EE4"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69" w:history="1">
            <w:r w:rsidR="00841BA1" w:rsidRPr="00F02686">
              <w:rPr>
                <w:rStyle w:val="Hyperlink"/>
                <w:rFonts w:ascii="Times New Roman" w:hAnsi="Times New Roman" w:cs="Times New Roman"/>
                <w:noProof/>
                <w:sz w:val="24"/>
                <w:szCs w:val="24"/>
              </w:rPr>
              <w:t>3.</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Process description</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_Toc223439269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41</w:t>
            </w:r>
            <w:r w:rsidR="00841BA1" w:rsidRPr="00F02686">
              <w:rPr>
                <w:rFonts w:ascii="Times New Roman" w:hAnsi="Times New Roman" w:cs="Times New Roman"/>
                <w:noProof/>
                <w:webHidden/>
                <w:sz w:val="24"/>
                <w:szCs w:val="24"/>
              </w:rPr>
              <w:fldChar w:fldCharType="end"/>
            </w:r>
          </w:hyperlink>
        </w:p>
        <w:p w14:paraId="49EFC890" w14:textId="637DB3E6" w:rsidR="00841BA1" w:rsidRPr="00F02686" w:rsidRDefault="001F4851">
          <w:pPr>
            <w:pStyle w:val="TOC3"/>
            <w:tabs>
              <w:tab w:val="left" w:pos="1200"/>
              <w:tab w:val="right" w:leader="dot" w:pos="8608"/>
            </w:tabs>
            <w:rPr>
              <w:rFonts w:ascii="Times New Roman" w:hAnsi="Times New Roman"/>
              <w:noProof/>
              <w:kern w:val="2"/>
              <w:sz w:val="24"/>
              <w:szCs w:val="24"/>
              <w:lang w:val="en-IE" w:eastAsia="en-IE"/>
              <w14:ligatures w14:val="standardContextual"/>
            </w:rPr>
          </w:pPr>
          <w:hyperlink w:anchor="_Toc223439270" w:history="1">
            <w:r w:rsidR="00841BA1" w:rsidRPr="00F02686">
              <w:rPr>
                <w:rStyle w:val="Hyperlink"/>
                <w:rFonts w:ascii="Times New Roman" w:hAnsi="Times New Roman"/>
                <w:noProof/>
                <w:sz w:val="24"/>
                <w:szCs w:val="24"/>
                <w:lang w:val="en-IE"/>
              </w:rPr>
              <w:t>3.1.</w:t>
            </w:r>
            <w:r w:rsidR="00841BA1" w:rsidRPr="00F02686">
              <w:rPr>
                <w:rFonts w:ascii="Times New Roman" w:hAnsi="Times New Roman"/>
                <w:noProof/>
                <w:kern w:val="2"/>
                <w:sz w:val="24"/>
                <w:szCs w:val="24"/>
                <w:lang w:val="en-IE" w:eastAsia="en-IE"/>
                <w14:ligatures w14:val="standardContextual"/>
              </w:rPr>
              <w:tab/>
            </w:r>
            <w:r w:rsidR="00841BA1" w:rsidRPr="00F02686">
              <w:rPr>
                <w:rStyle w:val="Hyperlink"/>
                <w:rFonts w:ascii="Times New Roman" w:hAnsi="Times New Roman"/>
                <w:noProof/>
                <w:sz w:val="24"/>
                <w:szCs w:val="24"/>
                <w:lang w:val="en-IE"/>
              </w:rPr>
              <w:t>Stakeholder consultation</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_Toc223439270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43</w:t>
            </w:r>
            <w:r w:rsidR="00841BA1" w:rsidRPr="00F02686">
              <w:rPr>
                <w:rFonts w:ascii="Times New Roman" w:hAnsi="Times New Roman"/>
                <w:noProof/>
                <w:webHidden/>
                <w:sz w:val="24"/>
                <w:szCs w:val="24"/>
              </w:rPr>
              <w:fldChar w:fldCharType="end"/>
            </w:r>
          </w:hyperlink>
        </w:p>
        <w:p w14:paraId="0EEE23A4" w14:textId="26DC79FB" w:rsidR="00841BA1" w:rsidRPr="00F02686" w:rsidRDefault="001F4851">
          <w:pPr>
            <w:pStyle w:val="TOC3"/>
            <w:tabs>
              <w:tab w:val="left" w:pos="1200"/>
              <w:tab w:val="right" w:leader="dot" w:pos="8608"/>
            </w:tabs>
            <w:rPr>
              <w:rFonts w:ascii="Times New Roman" w:hAnsi="Times New Roman"/>
              <w:noProof/>
              <w:kern w:val="2"/>
              <w:sz w:val="24"/>
              <w:szCs w:val="24"/>
              <w:lang w:val="en-IE" w:eastAsia="en-IE"/>
              <w14:ligatures w14:val="standardContextual"/>
            </w:rPr>
          </w:pPr>
          <w:hyperlink w:anchor="_Toc223439271" w:history="1">
            <w:r w:rsidR="00841BA1" w:rsidRPr="00F02686">
              <w:rPr>
                <w:rStyle w:val="Hyperlink"/>
                <w:rFonts w:ascii="Times New Roman" w:hAnsi="Times New Roman"/>
                <w:noProof/>
                <w:sz w:val="24"/>
                <w:szCs w:val="24"/>
                <w:lang w:val="en-IE"/>
              </w:rPr>
              <w:t>3.2.</w:t>
            </w:r>
            <w:r w:rsidR="00841BA1" w:rsidRPr="00F02686">
              <w:rPr>
                <w:rFonts w:ascii="Times New Roman" w:hAnsi="Times New Roman"/>
                <w:noProof/>
                <w:kern w:val="2"/>
                <w:sz w:val="24"/>
                <w:szCs w:val="24"/>
                <w:lang w:val="en-IE" w:eastAsia="en-IE"/>
                <w14:ligatures w14:val="standardContextual"/>
              </w:rPr>
              <w:tab/>
            </w:r>
            <w:r w:rsidR="00841BA1" w:rsidRPr="00F02686">
              <w:rPr>
                <w:rStyle w:val="Hyperlink"/>
                <w:rFonts w:ascii="Times New Roman" w:hAnsi="Times New Roman"/>
                <w:noProof/>
                <w:sz w:val="24"/>
                <w:szCs w:val="24"/>
                <w:lang w:val="en-IE"/>
              </w:rPr>
              <w:t>Data analysis techniques and tools</w:t>
            </w:r>
            <w:r w:rsidR="00841BA1" w:rsidRPr="00F02686">
              <w:rPr>
                <w:rFonts w:ascii="Times New Roman" w:hAnsi="Times New Roman"/>
                <w:noProof/>
                <w:webHidden/>
                <w:sz w:val="24"/>
                <w:szCs w:val="24"/>
              </w:rPr>
              <w:tab/>
            </w:r>
            <w:r w:rsidR="00841BA1" w:rsidRPr="00F02686">
              <w:rPr>
                <w:rFonts w:ascii="Times New Roman" w:hAnsi="Times New Roman"/>
                <w:noProof/>
                <w:webHidden/>
                <w:sz w:val="24"/>
                <w:szCs w:val="24"/>
              </w:rPr>
              <w:fldChar w:fldCharType="begin"/>
            </w:r>
            <w:r w:rsidR="00841BA1" w:rsidRPr="00F02686">
              <w:rPr>
                <w:rFonts w:ascii="Times New Roman" w:hAnsi="Times New Roman"/>
                <w:noProof/>
                <w:webHidden/>
                <w:sz w:val="24"/>
                <w:szCs w:val="24"/>
              </w:rPr>
              <w:instrText xml:space="preserve"> PAGEREF _Toc223439271 \h </w:instrText>
            </w:r>
            <w:r w:rsidR="00841BA1" w:rsidRPr="00F02686">
              <w:rPr>
                <w:rFonts w:ascii="Times New Roman" w:hAnsi="Times New Roman"/>
                <w:noProof/>
                <w:webHidden/>
                <w:sz w:val="24"/>
                <w:szCs w:val="24"/>
              </w:rPr>
            </w:r>
            <w:r w:rsidR="00841BA1" w:rsidRPr="00F02686">
              <w:rPr>
                <w:rFonts w:ascii="Times New Roman" w:hAnsi="Times New Roman"/>
                <w:noProof/>
                <w:webHidden/>
                <w:sz w:val="24"/>
                <w:szCs w:val="24"/>
              </w:rPr>
              <w:fldChar w:fldCharType="separate"/>
            </w:r>
            <w:r w:rsidR="002D5B21">
              <w:rPr>
                <w:rFonts w:ascii="Times New Roman" w:hAnsi="Times New Roman"/>
                <w:noProof/>
                <w:webHidden/>
                <w:sz w:val="24"/>
                <w:szCs w:val="24"/>
              </w:rPr>
              <w:t>43</w:t>
            </w:r>
            <w:r w:rsidR="00841BA1" w:rsidRPr="00F02686">
              <w:rPr>
                <w:rFonts w:ascii="Times New Roman" w:hAnsi="Times New Roman"/>
                <w:noProof/>
                <w:webHidden/>
                <w:sz w:val="24"/>
                <w:szCs w:val="24"/>
              </w:rPr>
              <w:fldChar w:fldCharType="end"/>
            </w:r>
          </w:hyperlink>
        </w:p>
        <w:p w14:paraId="60DA108F" w14:textId="20F166B9"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72" w:history="1">
            <w:r w:rsidR="00841BA1" w:rsidRPr="00F02686">
              <w:rPr>
                <w:rStyle w:val="Hyperlink"/>
                <w:noProof/>
                <w:sz w:val="24"/>
                <w:szCs w:val="24"/>
              </w:rPr>
              <w:t>Annex III. Evaluation matrix</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_Toc223439272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44</w:t>
            </w:r>
            <w:r w:rsidR="00841BA1" w:rsidRPr="00F02686">
              <w:rPr>
                <w:noProof/>
                <w:webHidden/>
                <w:sz w:val="24"/>
                <w:szCs w:val="24"/>
              </w:rPr>
              <w:fldChar w:fldCharType="end"/>
            </w:r>
          </w:hyperlink>
        </w:p>
        <w:p w14:paraId="28BA30D1" w14:textId="47335C56"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3" w:history="1">
            <w:r w:rsidR="00841BA1" w:rsidRPr="00F02686">
              <w:rPr>
                <w:rStyle w:val="Hyperlink"/>
                <w:rFonts w:ascii="Times New Roman" w:hAnsi="Times New Roman" w:cs="Times New Roman"/>
                <w:noProof/>
                <w:sz w:val="24"/>
                <w:szCs w:val="24"/>
              </w:rPr>
              <w:t>1.</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Evaluation matrix</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_Toc223439273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44</w:t>
            </w:r>
            <w:r w:rsidR="00841BA1" w:rsidRPr="00F02686">
              <w:rPr>
                <w:rFonts w:ascii="Times New Roman" w:hAnsi="Times New Roman" w:cs="Times New Roman"/>
                <w:noProof/>
                <w:webHidden/>
                <w:sz w:val="24"/>
                <w:szCs w:val="24"/>
              </w:rPr>
              <w:fldChar w:fldCharType="end"/>
            </w:r>
          </w:hyperlink>
        </w:p>
        <w:p w14:paraId="09EF86DD" w14:textId="2080813C"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4" w:history="1">
            <w:r w:rsidR="00841BA1" w:rsidRPr="00F02686">
              <w:rPr>
                <w:rStyle w:val="Hyperlink"/>
                <w:rFonts w:ascii="Times New Roman" w:hAnsi="Times New Roman" w:cs="Times New Roman"/>
                <w:noProof/>
                <w:sz w:val="24"/>
                <w:szCs w:val="24"/>
              </w:rPr>
              <w:t>2.</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Effectiveness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_Toc223439274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45</w:t>
            </w:r>
            <w:r w:rsidR="00841BA1" w:rsidRPr="00F02686">
              <w:rPr>
                <w:rFonts w:ascii="Times New Roman" w:hAnsi="Times New Roman" w:cs="Times New Roman"/>
                <w:noProof/>
                <w:webHidden/>
                <w:sz w:val="24"/>
                <w:szCs w:val="24"/>
              </w:rPr>
              <w:fldChar w:fldCharType="end"/>
            </w:r>
          </w:hyperlink>
        </w:p>
        <w:p w14:paraId="451583F5" w14:textId="79BED0B7"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5" w:history="1">
            <w:r w:rsidR="00841BA1" w:rsidRPr="00F02686">
              <w:rPr>
                <w:rStyle w:val="Hyperlink"/>
                <w:rFonts w:ascii="Times New Roman" w:hAnsi="Times New Roman" w:cs="Times New Roman"/>
                <w:noProof/>
                <w:sz w:val="24"/>
                <w:szCs w:val="24"/>
              </w:rPr>
              <w:t>3.</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Efficiency</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_Toc223439275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53</w:t>
            </w:r>
            <w:r w:rsidR="00841BA1" w:rsidRPr="00F02686">
              <w:rPr>
                <w:rFonts w:ascii="Times New Roman" w:hAnsi="Times New Roman" w:cs="Times New Roman"/>
                <w:noProof/>
                <w:webHidden/>
                <w:sz w:val="24"/>
                <w:szCs w:val="24"/>
              </w:rPr>
              <w:fldChar w:fldCharType="end"/>
            </w:r>
          </w:hyperlink>
        </w:p>
        <w:p w14:paraId="65742644" w14:textId="38385B79"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6" w:history="1">
            <w:r w:rsidR="00841BA1" w:rsidRPr="00F02686">
              <w:rPr>
                <w:rStyle w:val="Hyperlink"/>
                <w:rFonts w:ascii="Times New Roman" w:hAnsi="Times New Roman" w:cs="Times New Roman"/>
                <w:noProof/>
                <w:sz w:val="24"/>
                <w:szCs w:val="24"/>
              </w:rPr>
              <w:t>4.</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Relevance</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_Toc223439276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56</w:t>
            </w:r>
            <w:r w:rsidR="00841BA1" w:rsidRPr="00F02686">
              <w:rPr>
                <w:rFonts w:ascii="Times New Roman" w:hAnsi="Times New Roman" w:cs="Times New Roman"/>
                <w:noProof/>
                <w:webHidden/>
                <w:sz w:val="24"/>
                <w:szCs w:val="24"/>
              </w:rPr>
              <w:fldChar w:fldCharType="end"/>
            </w:r>
          </w:hyperlink>
        </w:p>
        <w:p w14:paraId="33ECFDDC" w14:textId="109C9188"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7" w:history="1">
            <w:r w:rsidR="00841BA1" w:rsidRPr="00F02686">
              <w:rPr>
                <w:rStyle w:val="Hyperlink"/>
                <w:rFonts w:ascii="Times New Roman" w:hAnsi="Times New Roman" w:cs="Times New Roman"/>
                <w:noProof/>
                <w:sz w:val="24"/>
                <w:szCs w:val="24"/>
              </w:rPr>
              <w:t>5.</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Coherence</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_Toc223439277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59</w:t>
            </w:r>
            <w:r w:rsidR="00841BA1" w:rsidRPr="00F02686">
              <w:rPr>
                <w:rFonts w:ascii="Times New Roman" w:hAnsi="Times New Roman" w:cs="Times New Roman"/>
                <w:noProof/>
                <w:webHidden/>
                <w:sz w:val="24"/>
                <w:szCs w:val="24"/>
              </w:rPr>
              <w:fldChar w:fldCharType="end"/>
            </w:r>
          </w:hyperlink>
        </w:p>
        <w:p w14:paraId="25D39DC4" w14:textId="42E4ED5D"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8" w:history="1">
            <w:r w:rsidR="00841BA1" w:rsidRPr="00F02686">
              <w:rPr>
                <w:rStyle w:val="Hyperlink"/>
                <w:rFonts w:ascii="Times New Roman" w:hAnsi="Times New Roman" w:cs="Times New Roman"/>
                <w:noProof/>
                <w:sz w:val="24"/>
                <w:szCs w:val="24"/>
              </w:rPr>
              <w:t>6.</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EU added value</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_Toc223439278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60</w:t>
            </w:r>
            <w:r w:rsidR="00841BA1" w:rsidRPr="00F02686">
              <w:rPr>
                <w:rFonts w:ascii="Times New Roman" w:hAnsi="Times New Roman" w:cs="Times New Roman"/>
                <w:noProof/>
                <w:webHidden/>
                <w:sz w:val="24"/>
                <w:szCs w:val="24"/>
              </w:rPr>
              <w:fldChar w:fldCharType="end"/>
            </w:r>
          </w:hyperlink>
        </w:p>
        <w:p w14:paraId="42582E90" w14:textId="3E638ED8" w:rsidR="00841BA1" w:rsidRPr="00F02686" w:rsidRDefault="001F4851">
          <w:pPr>
            <w:pStyle w:val="TOC2"/>
            <w:tabs>
              <w:tab w:val="left" w:pos="720"/>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79" w:history="1">
            <w:r w:rsidR="00841BA1" w:rsidRPr="00F02686">
              <w:rPr>
                <w:rStyle w:val="Hyperlink"/>
                <w:rFonts w:ascii="Times New Roman" w:hAnsi="Times New Roman" w:cs="Times New Roman"/>
                <w:noProof/>
                <w:sz w:val="24"/>
                <w:szCs w:val="24"/>
              </w:rPr>
              <w:t>7.</w:t>
            </w:r>
            <w:r w:rsidR="00841BA1" w:rsidRPr="00F02686">
              <w:rPr>
                <w:rFonts w:ascii="Times New Roman" w:eastAsiaTheme="minorEastAsia" w:hAnsi="Times New Roman" w:cs="Times New Roman"/>
                <w:noProof/>
                <w:kern w:val="2"/>
                <w:sz w:val="24"/>
                <w:szCs w:val="24"/>
                <w:lang w:val="en-IE" w:eastAsia="en-IE"/>
                <w14:ligatures w14:val="standardContextual"/>
              </w:rPr>
              <w:tab/>
            </w:r>
            <w:r w:rsidR="00841BA1" w:rsidRPr="00F02686">
              <w:rPr>
                <w:rStyle w:val="Hyperlink"/>
                <w:rFonts w:ascii="Times New Roman" w:hAnsi="Times New Roman" w:cs="Times New Roman"/>
                <w:noProof/>
                <w:sz w:val="24"/>
                <w:szCs w:val="24"/>
              </w:rPr>
              <w:t>Fundamental rights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_Toc223439279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61</w:t>
            </w:r>
            <w:r w:rsidR="00841BA1" w:rsidRPr="00F02686">
              <w:rPr>
                <w:rFonts w:ascii="Times New Roman" w:hAnsi="Times New Roman" w:cs="Times New Roman"/>
                <w:noProof/>
                <w:webHidden/>
                <w:sz w:val="24"/>
                <w:szCs w:val="24"/>
              </w:rPr>
              <w:fldChar w:fldCharType="end"/>
            </w:r>
          </w:hyperlink>
        </w:p>
        <w:p w14:paraId="4BFF134B" w14:textId="05CF2214"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80" w:history="1">
            <w:r w:rsidR="00841BA1" w:rsidRPr="00F02686">
              <w:rPr>
                <w:rStyle w:val="Hyperlink"/>
                <w:noProof/>
                <w:sz w:val="24"/>
                <w:szCs w:val="24"/>
                <w:lang w:val="en-IE"/>
              </w:rPr>
              <w:t>Annex IV. Overview of benefits and costs</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_Toc223439280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64</w:t>
            </w:r>
            <w:r w:rsidR="00841BA1" w:rsidRPr="00F02686">
              <w:rPr>
                <w:noProof/>
                <w:webHidden/>
                <w:sz w:val="24"/>
                <w:szCs w:val="24"/>
              </w:rPr>
              <w:fldChar w:fldCharType="end"/>
            </w:r>
          </w:hyperlink>
        </w:p>
        <w:p w14:paraId="1393FAF1" w14:textId="3DB9EBDD" w:rsidR="00841BA1" w:rsidRPr="00F02686" w:rsidRDefault="001F4851">
          <w:pPr>
            <w:pStyle w:val="TOC1"/>
            <w:rPr>
              <w:rFonts w:eastAsiaTheme="minorEastAsia"/>
              <w:caps w:val="0"/>
              <w:noProof/>
              <w:kern w:val="2"/>
              <w:sz w:val="24"/>
              <w:szCs w:val="24"/>
              <w:lang w:val="en-IE" w:eastAsia="en-IE"/>
              <w14:ligatures w14:val="standardContextual"/>
            </w:rPr>
          </w:pPr>
          <w:hyperlink w:anchor="_Toc223439281" w:history="1">
            <w:r w:rsidR="00841BA1" w:rsidRPr="00F02686">
              <w:rPr>
                <w:rStyle w:val="Hyperlink"/>
                <w:noProof/>
                <w:sz w:val="24"/>
                <w:szCs w:val="24"/>
              </w:rPr>
              <w:t>Annex V. Stakeholders consultation - Synopsis report</w:t>
            </w:r>
            <w:r w:rsidR="00841BA1" w:rsidRPr="00F02686">
              <w:rPr>
                <w:noProof/>
                <w:webHidden/>
                <w:sz w:val="24"/>
                <w:szCs w:val="24"/>
              </w:rPr>
              <w:tab/>
            </w:r>
            <w:r w:rsidR="00841BA1" w:rsidRPr="00F02686">
              <w:rPr>
                <w:noProof/>
                <w:webHidden/>
                <w:sz w:val="24"/>
                <w:szCs w:val="24"/>
              </w:rPr>
              <w:fldChar w:fldCharType="begin"/>
            </w:r>
            <w:r w:rsidR="00841BA1" w:rsidRPr="00F02686">
              <w:rPr>
                <w:noProof/>
                <w:webHidden/>
                <w:sz w:val="24"/>
                <w:szCs w:val="24"/>
              </w:rPr>
              <w:instrText xml:space="preserve"> PAGEREF _Toc223439281 \h </w:instrText>
            </w:r>
            <w:r w:rsidR="00841BA1" w:rsidRPr="00F02686">
              <w:rPr>
                <w:noProof/>
                <w:webHidden/>
                <w:sz w:val="24"/>
                <w:szCs w:val="24"/>
              </w:rPr>
            </w:r>
            <w:r w:rsidR="00841BA1" w:rsidRPr="00F02686">
              <w:rPr>
                <w:noProof/>
                <w:webHidden/>
                <w:sz w:val="24"/>
                <w:szCs w:val="24"/>
              </w:rPr>
              <w:fldChar w:fldCharType="separate"/>
            </w:r>
            <w:r w:rsidR="002D5B21">
              <w:rPr>
                <w:noProof/>
                <w:webHidden/>
                <w:sz w:val="24"/>
                <w:szCs w:val="24"/>
              </w:rPr>
              <w:t>66</w:t>
            </w:r>
            <w:r w:rsidR="00841BA1" w:rsidRPr="00F02686">
              <w:rPr>
                <w:noProof/>
                <w:webHidden/>
                <w:sz w:val="24"/>
                <w:szCs w:val="24"/>
              </w:rPr>
              <w:fldChar w:fldCharType="end"/>
            </w:r>
          </w:hyperlink>
        </w:p>
        <w:p w14:paraId="2F0EA919" w14:textId="38FAB4E7"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2" w:history="1">
            <w:r w:rsidR="00841BA1" w:rsidRPr="00F02686">
              <w:rPr>
                <w:rStyle w:val="Hyperlink"/>
                <w:rFonts w:ascii="Times New Roman" w:hAnsi="Times New Roman" w:cs="Times New Roman"/>
                <w:noProof/>
                <w:sz w:val="24"/>
                <w:szCs w:val="24"/>
              </w:rPr>
              <w:t>Desk research</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_Toc223439282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66</w:t>
            </w:r>
            <w:r w:rsidR="00841BA1" w:rsidRPr="00F02686">
              <w:rPr>
                <w:rFonts w:ascii="Times New Roman" w:hAnsi="Times New Roman" w:cs="Times New Roman"/>
                <w:noProof/>
                <w:webHidden/>
                <w:sz w:val="24"/>
                <w:szCs w:val="24"/>
              </w:rPr>
              <w:fldChar w:fldCharType="end"/>
            </w:r>
          </w:hyperlink>
        </w:p>
        <w:p w14:paraId="6079EABD" w14:textId="0D331CE2"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3" w:history="1">
            <w:r w:rsidR="00841BA1" w:rsidRPr="00F02686">
              <w:rPr>
                <w:rStyle w:val="Hyperlink"/>
                <w:rFonts w:ascii="Times New Roman" w:hAnsi="Times New Roman" w:cs="Times New Roman"/>
                <w:noProof/>
                <w:sz w:val="24"/>
                <w:szCs w:val="24"/>
              </w:rPr>
              <w:t>Discovery interviews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_Toc223439283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66</w:t>
            </w:r>
            <w:r w:rsidR="00841BA1" w:rsidRPr="00F02686">
              <w:rPr>
                <w:rFonts w:ascii="Times New Roman" w:hAnsi="Times New Roman" w:cs="Times New Roman"/>
                <w:noProof/>
                <w:webHidden/>
                <w:sz w:val="24"/>
                <w:szCs w:val="24"/>
              </w:rPr>
              <w:fldChar w:fldCharType="end"/>
            </w:r>
          </w:hyperlink>
        </w:p>
        <w:p w14:paraId="402F3984" w14:textId="01506F9B"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4" w:history="1">
            <w:r w:rsidR="00841BA1" w:rsidRPr="00F02686">
              <w:rPr>
                <w:rStyle w:val="Hyperlink"/>
                <w:rFonts w:ascii="Times New Roman" w:hAnsi="Times New Roman" w:cs="Times New Roman"/>
                <w:iCs/>
                <w:noProof/>
                <w:sz w:val="24"/>
                <w:szCs w:val="24"/>
              </w:rPr>
              <w:t>Ad hoc</w:t>
            </w:r>
            <w:r w:rsidR="00841BA1" w:rsidRPr="00F02686">
              <w:rPr>
                <w:rStyle w:val="Hyperlink"/>
                <w:rFonts w:ascii="Times New Roman" w:hAnsi="Times New Roman" w:cs="Times New Roman"/>
                <w:i/>
                <w:noProof/>
                <w:sz w:val="24"/>
                <w:szCs w:val="24"/>
              </w:rPr>
              <w:t xml:space="preserve"> </w:t>
            </w:r>
            <w:r w:rsidR="00841BA1" w:rsidRPr="00F02686">
              <w:rPr>
                <w:rStyle w:val="Hyperlink"/>
                <w:rFonts w:ascii="Times New Roman" w:hAnsi="Times New Roman" w:cs="Times New Roman"/>
                <w:noProof/>
                <w:sz w:val="24"/>
                <w:szCs w:val="24"/>
              </w:rPr>
              <w:t>interviews: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_Toc223439284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67</w:t>
            </w:r>
            <w:r w:rsidR="00841BA1" w:rsidRPr="00F02686">
              <w:rPr>
                <w:rFonts w:ascii="Times New Roman" w:hAnsi="Times New Roman" w:cs="Times New Roman"/>
                <w:noProof/>
                <w:webHidden/>
                <w:sz w:val="24"/>
                <w:szCs w:val="24"/>
              </w:rPr>
              <w:fldChar w:fldCharType="end"/>
            </w:r>
          </w:hyperlink>
        </w:p>
        <w:p w14:paraId="6EBE4329" w14:textId="6F6B9A82"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5" w:history="1">
            <w:r w:rsidR="00841BA1" w:rsidRPr="00F02686">
              <w:rPr>
                <w:rStyle w:val="Hyperlink"/>
                <w:rFonts w:ascii="Times New Roman" w:hAnsi="Times New Roman" w:cs="Times New Roman"/>
                <w:noProof/>
                <w:sz w:val="24"/>
                <w:szCs w:val="24"/>
              </w:rPr>
              <w:t>Interviews (and written contributions) for case studies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_Toc223439285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67</w:t>
            </w:r>
            <w:r w:rsidR="00841BA1" w:rsidRPr="00F02686">
              <w:rPr>
                <w:rFonts w:ascii="Times New Roman" w:hAnsi="Times New Roman" w:cs="Times New Roman"/>
                <w:noProof/>
                <w:webHidden/>
                <w:sz w:val="24"/>
                <w:szCs w:val="24"/>
              </w:rPr>
              <w:fldChar w:fldCharType="end"/>
            </w:r>
          </w:hyperlink>
        </w:p>
        <w:p w14:paraId="14235D4E" w14:textId="175953F4"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6" w:history="1">
            <w:r w:rsidR="00841BA1" w:rsidRPr="00F02686">
              <w:rPr>
                <w:rStyle w:val="Hyperlink"/>
                <w:rFonts w:ascii="Times New Roman" w:hAnsi="Times New Roman" w:cs="Times New Roman"/>
                <w:noProof/>
                <w:sz w:val="24"/>
                <w:szCs w:val="24"/>
              </w:rPr>
              <w:t>Online surveys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_Toc223439286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68</w:t>
            </w:r>
            <w:r w:rsidR="00841BA1" w:rsidRPr="00F02686">
              <w:rPr>
                <w:rFonts w:ascii="Times New Roman" w:hAnsi="Times New Roman" w:cs="Times New Roman"/>
                <w:noProof/>
                <w:webHidden/>
                <w:sz w:val="24"/>
                <w:szCs w:val="24"/>
              </w:rPr>
              <w:fldChar w:fldCharType="end"/>
            </w:r>
          </w:hyperlink>
        </w:p>
        <w:p w14:paraId="2BBF31E9" w14:textId="58E45433"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7" w:history="1">
            <w:r w:rsidR="00841BA1" w:rsidRPr="00F02686">
              <w:rPr>
                <w:rStyle w:val="Hyperlink"/>
                <w:rFonts w:ascii="Times New Roman" w:hAnsi="Times New Roman" w:cs="Times New Roman"/>
                <w:noProof/>
                <w:sz w:val="24"/>
                <w:szCs w:val="24"/>
              </w:rPr>
              <w:t>Participation in meetings and workshops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_Toc223439287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69</w:t>
            </w:r>
            <w:r w:rsidR="00841BA1" w:rsidRPr="00F02686">
              <w:rPr>
                <w:rFonts w:ascii="Times New Roman" w:hAnsi="Times New Roman" w:cs="Times New Roman"/>
                <w:noProof/>
                <w:webHidden/>
                <w:sz w:val="24"/>
                <w:szCs w:val="24"/>
              </w:rPr>
              <w:fldChar w:fldCharType="end"/>
            </w:r>
          </w:hyperlink>
        </w:p>
        <w:p w14:paraId="60EA7070" w14:textId="7E1F8881"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8" w:history="1">
            <w:r w:rsidR="00841BA1" w:rsidRPr="00F02686">
              <w:rPr>
                <w:rStyle w:val="Hyperlink"/>
                <w:rFonts w:ascii="Times New Roman" w:hAnsi="Times New Roman" w:cs="Times New Roman"/>
                <w:noProof/>
                <w:sz w:val="24"/>
                <w:szCs w:val="24"/>
              </w:rPr>
              <w:t>Tertiary experts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_Toc223439288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69</w:t>
            </w:r>
            <w:r w:rsidR="00841BA1" w:rsidRPr="00F02686">
              <w:rPr>
                <w:rFonts w:ascii="Times New Roman" w:hAnsi="Times New Roman" w:cs="Times New Roman"/>
                <w:noProof/>
                <w:webHidden/>
                <w:sz w:val="24"/>
                <w:szCs w:val="24"/>
              </w:rPr>
              <w:fldChar w:fldCharType="end"/>
            </w:r>
          </w:hyperlink>
        </w:p>
        <w:p w14:paraId="1CE86CC1" w14:textId="4EC6E2CE" w:rsidR="00841BA1" w:rsidRPr="00F02686" w:rsidRDefault="001F4851">
          <w:pPr>
            <w:pStyle w:val="TOC2"/>
            <w:tabs>
              <w:tab w:val="right" w:leader="dot" w:pos="8608"/>
            </w:tabs>
            <w:rPr>
              <w:rFonts w:ascii="Times New Roman" w:eastAsiaTheme="minorEastAsia" w:hAnsi="Times New Roman" w:cs="Times New Roman"/>
              <w:noProof/>
              <w:kern w:val="2"/>
              <w:sz w:val="24"/>
              <w:szCs w:val="24"/>
              <w:lang w:val="en-IE" w:eastAsia="en-IE"/>
              <w14:ligatures w14:val="standardContextual"/>
            </w:rPr>
          </w:pPr>
          <w:hyperlink w:anchor="_Toc223439289" w:history="1">
            <w:r w:rsidR="00841BA1" w:rsidRPr="00F02686">
              <w:rPr>
                <w:rStyle w:val="Hyperlink"/>
                <w:rFonts w:ascii="Times New Roman" w:hAnsi="Times New Roman" w:cs="Times New Roman"/>
                <w:noProof/>
                <w:sz w:val="24"/>
                <w:szCs w:val="24"/>
              </w:rPr>
              <w:t>Results of the stakeholder consultation activities</w:t>
            </w:r>
            <w:r w:rsidR="00841BA1" w:rsidRPr="00F02686">
              <w:rPr>
                <w:rFonts w:ascii="Times New Roman" w:hAnsi="Times New Roman" w:cs="Times New Roman"/>
                <w:noProof/>
                <w:webHidden/>
                <w:sz w:val="24"/>
                <w:szCs w:val="24"/>
              </w:rPr>
              <w:tab/>
            </w:r>
            <w:r w:rsidR="00841BA1" w:rsidRPr="00F02686">
              <w:rPr>
                <w:rFonts w:ascii="Times New Roman" w:hAnsi="Times New Roman" w:cs="Times New Roman"/>
                <w:noProof/>
                <w:webHidden/>
                <w:sz w:val="24"/>
                <w:szCs w:val="24"/>
              </w:rPr>
              <w:fldChar w:fldCharType="begin"/>
            </w:r>
            <w:r w:rsidR="00841BA1" w:rsidRPr="00F02686">
              <w:rPr>
                <w:rFonts w:ascii="Times New Roman" w:hAnsi="Times New Roman" w:cs="Times New Roman"/>
                <w:noProof/>
                <w:webHidden/>
                <w:sz w:val="24"/>
                <w:szCs w:val="24"/>
              </w:rPr>
              <w:instrText xml:space="preserve"> PAGEREF _Toc223439289 \h </w:instrText>
            </w:r>
            <w:r w:rsidR="00841BA1" w:rsidRPr="00F02686">
              <w:rPr>
                <w:rFonts w:ascii="Times New Roman" w:hAnsi="Times New Roman" w:cs="Times New Roman"/>
                <w:noProof/>
                <w:webHidden/>
                <w:sz w:val="24"/>
                <w:szCs w:val="24"/>
              </w:rPr>
            </w:r>
            <w:r w:rsidR="00841BA1" w:rsidRPr="00F02686">
              <w:rPr>
                <w:rFonts w:ascii="Times New Roman" w:hAnsi="Times New Roman" w:cs="Times New Roman"/>
                <w:noProof/>
                <w:webHidden/>
                <w:sz w:val="24"/>
                <w:szCs w:val="24"/>
              </w:rPr>
              <w:fldChar w:fldCharType="separate"/>
            </w:r>
            <w:r w:rsidR="002D5B21">
              <w:rPr>
                <w:rFonts w:ascii="Times New Roman" w:hAnsi="Times New Roman" w:cs="Times New Roman"/>
                <w:noProof/>
                <w:webHidden/>
                <w:sz w:val="24"/>
                <w:szCs w:val="24"/>
              </w:rPr>
              <w:t>69</w:t>
            </w:r>
            <w:r w:rsidR="00841BA1" w:rsidRPr="00F02686">
              <w:rPr>
                <w:rFonts w:ascii="Times New Roman" w:hAnsi="Times New Roman" w:cs="Times New Roman"/>
                <w:noProof/>
                <w:webHidden/>
                <w:sz w:val="24"/>
                <w:szCs w:val="24"/>
              </w:rPr>
              <w:fldChar w:fldCharType="end"/>
            </w:r>
          </w:hyperlink>
        </w:p>
        <w:p w14:paraId="72FD0245" w14:textId="21F17FB9" w:rsidR="00691B39" w:rsidRPr="00841BA1" w:rsidRDefault="00691B39">
          <w:pPr>
            <w:rPr>
              <w:rFonts w:ascii="Times New Roman" w:hAnsi="Times New Roman" w:cs="Times New Roman"/>
              <w:noProof/>
              <w:sz w:val="24"/>
              <w:szCs w:val="24"/>
            </w:rPr>
          </w:pPr>
          <w:r w:rsidRPr="00F02686">
            <w:rPr>
              <w:rFonts w:ascii="Times New Roman" w:hAnsi="Times New Roman" w:cs="Times New Roman"/>
              <w:b/>
              <w:bCs/>
              <w:noProof/>
              <w:sz w:val="24"/>
              <w:szCs w:val="24"/>
            </w:rPr>
            <w:fldChar w:fldCharType="end"/>
          </w:r>
        </w:p>
      </w:sdtContent>
    </w:sdt>
    <w:p w14:paraId="51999B75" w14:textId="77777777" w:rsidR="00147D71" w:rsidRPr="00841BA1" w:rsidRDefault="00147D71">
      <w:pPr>
        <w:rPr>
          <w:rFonts w:ascii="Times New Roman" w:hAnsi="Times New Roman" w:cs="Times New Roman"/>
          <w:noProof/>
          <w:sz w:val="24"/>
          <w:szCs w:val="24"/>
          <w:lang w:val="en-IE"/>
        </w:rPr>
      </w:pPr>
      <w:r w:rsidRPr="00841BA1">
        <w:rPr>
          <w:rFonts w:ascii="Times New Roman" w:hAnsi="Times New Roman" w:cs="Times New Roman"/>
          <w:noProof/>
          <w:sz w:val="24"/>
          <w:szCs w:val="24"/>
          <w:lang w:val="en-IE"/>
        </w:rPr>
        <w:br w:type="page"/>
      </w:r>
    </w:p>
    <w:p w14:paraId="1734BD93" w14:textId="249940B7" w:rsidR="008530D4" w:rsidRPr="00575CC5" w:rsidRDefault="008530D4" w:rsidP="008530D4">
      <w:pPr>
        <w:jc w:val="center"/>
        <w:rPr>
          <w:rFonts w:ascii="Times New Roman" w:hAnsi="Times New Roman" w:cs="Times New Roman"/>
          <w:b/>
          <w:noProof/>
          <w:sz w:val="24"/>
          <w:szCs w:val="24"/>
        </w:rPr>
      </w:pPr>
      <w:r w:rsidRPr="00575CC5">
        <w:rPr>
          <w:rFonts w:ascii="Times New Roman" w:hAnsi="Times New Roman" w:cs="Times New Roman"/>
          <w:b/>
          <w:noProof/>
          <w:sz w:val="24"/>
          <w:szCs w:val="24"/>
        </w:rPr>
        <w:t>Glossary</w:t>
      </w:r>
    </w:p>
    <w:tbl>
      <w:tblPr>
        <w:tblStyle w:val="TableGrid"/>
        <w:tblW w:w="0" w:type="auto"/>
        <w:tblLook w:val="04A0" w:firstRow="1" w:lastRow="0" w:firstColumn="1" w:lastColumn="0" w:noHBand="0" w:noVBand="1"/>
      </w:tblPr>
      <w:tblGrid>
        <w:gridCol w:w="3227"/>
        <w:gridCol w:w="5607"/>
      </w:tblGrid>
      <w:tr w:rsidR="00362F84" w:rsidRPr="00575CC5" w14:paraId="348616B2" w14:textId="77777777" w:rsidTr="0AB4D0A3">
        <w:trPr>
          <w:trHeight w:val="516"/>
        </w:trPr>
        <w:tc>
          <w:tcPr>
            <w:tcW w:w="3227" w:type="dxa"/>
            <w:tcBorders>
              <w:bottom w:val="double" w:sz="4" w:space="0" w:color="auto"/>
            </w:tcBorders>
            <w:shd w:val="clear" w:color="auto" w:fill="F2F2F2" w:themeFill="background1" w:themeFillShade="F2"/>
          </w:tcPr>
          <w:p w14:paraId="263CBFF5" w14:textId="77777777" w:rsidR="00362F84" w:rsidRPr="00575CC5" w:rsidRDefault="00362F84" w:rsidP="7867DE1D">
            <w:pPr>
              <w:spacing w:before="120" w:after="120"/>
              <w:jc w:val="center"/>
              <w:rPr>
                <w:b/>
                <w:i/>
                <w:noProof/>
                <w:sz w:val="24"/>
                <w:szCs w:val="24"/>
              </w:rPr>
            </w:pPr>
            <w:r w:rsidRPr="00575CC5">
              <w:rPr>
                <w:b/>
                <w:bCs/>
                <w:i/>
                <w:iCs/>
                <w:noProof/>
                <w:sz w:val="24"/>
                <w:szCs w:val="24"/>
              </w:rPr>
              <w:t>Term or acronym</w:t>
            </w:r>
          </w:p>
        </w:tc>
        <w:tc>
          <w:tcPr>
            <w:tcW w:w="5607" w:type="dxa"/>
            <w:tcBorders>
              <w:bottom w:val="double" w:sz="4" w:space="0" w:color="auto"/>
            </w:tcBorders>
            <w:shd w:val="clear" w:color="auto" w:fill="F2F2F2" w:themeFill="background1" w:themeFillShade="F2"/>
          </w:tcPr>
          <w:p w14:paraId="039CE190" w14:textId="77777777" w:rsidR="00362F84" w:rsidRPr="00575CC5" w:rsidRDefault="00362F84" w:rsidP="7867DE1D">
            <w:pPr>
              <w:spacing w:before="120" w:after="120"/>
              <w:jc w:val="center"/>
              <w:rPr>
                <w:b/>
                <w:i/>
                <w:noProof/>
                <w:sz w:val="24"/>
                <w:szCs w:val="24"/>
              </w:rPr>
            </w:pPr>
            <w:r w:rsidRPr="00575CC5">
              <w:rPr>
                <w:b/>
                <w:bCs/>
                <w:i/>
                <w:iCs/>
                <w:noProof/>
                <w:sz w:val="24"/>
                <w:szCs w:val="24"/>
              </w:rPr>
              <w:t>Meaning or definition</w:t>
            </w:r>
          </w:p>
        </w:tc>
      </w:tr>
      <w:tr w:rsidR="00362F84" w:rsidRPr="00575CC5" w14:paraId="0F460403" w14:textId="77777777" w:rsidTr="0AB4D0A3">
        <w:tc>
          <w:tcPr>
            <w:tcW w:w="3227" w:type="dxa"/>
            <w:tcBorders>
              <w:top w:val="double" w:sz="4" w:space="0" w:color="auto"/>
              <w:bottom w:val="double" w:sz="4" w:space="0" w:color="auto"/>
            </w:tcBorders>
            <w:tcMar>
              <w:top w:w="113" w:type="dxa"/>
              <w:bottom w:w="113" w:type="dxa"/>
            </w:tcMar>
          </w:tcPr>
          <w:p w14:paraId="17218C26" w14:textId="77777777" w:rsidR="00362F84" w:rsidRPr="00575CC5" w:rsidRDefault="00362F84" w:rsidP="7867DE1D">
            <w:pPr>
              <w:rPr>
                <w:noProof/>
                <w:lang w:val="en-IE"/>
              </w:rPr>
            </w:pPr>
            <w:r w:rsidRPr="00575CC5">
              <w:rPr>
                <w:noProof/>
              </w:rPr>
              <w:t>The Directive</w:t>
            </w:r>
            <w:r w:rsidRPr="00575CC5">
              <w:rPr>
                <w:noProof/>
                <w:lang w:val="en-IE"/>
              </w:rPr>
              <w:t>  </w:t>
            </w:r>
          </w:p>
        </w:tc>
        <w:tc>
          <w:tcPr>
            <w:tcW w:w="5607" w:type="dxa"/>
            <w:tcBorders>
              <w:top w:val="double" w:sz="4" w:space="0" w:color="auto"/>
              <w:bottom w:val="double" w:sz="4" w:space="0" w:color="auto"/>
            </w:tcBorders>
            <w:tcMar>
              <w:top w:w="113" w:type="dxa"/>
              <w:bottom w:w="113" w:type="dxa"/>
            </w:tcMar>
          </w:tcPr>
          <w:p w14:paraId="7D0A4D57" w14:textId="77777777" w:rsidR="00362F84" w:rsidRPr="00575CC5" w:rsidRDefault="00362F84" w:rsidP="7867DE1D">
            <w:pPr>
              <w:rPr>
                <w:noProof/>
                <w:lang w:val="en-IE"/>
              </w:rPr>
            </w:pPr>
            <w:r w:rsidRPr="00575CC5">
              <w:rPr>
                <w:noProof/>
              </w:rPr>
              <w:t>D</w:t>
            </w:r>
            <w:r w:rsidRPr="00575CC5">
              <w:rPr>
                <w:noProof/>
                <w:lang w:val="en-IE"/>
              </w:rPr>
              <w:t>irective (EU) 2018/1673 on combating money laundering by criminal law </w:t>
            </w:r>
          </w:p>
        </w:tc>
      </w:tr>
      <w:tr w:rsidR="00362F84" w:rsidRPr="00575CC5" w14:paraId="6F2EC3D6" w14:textId="77777777" w:rsidTr="0AB4D0A3">
        <w:tc>
          <w:tcPr>
            <w:tcW w:w="3227" w:type="dxa"/>
            <w:tcBorders>
              <w:top w:val="double" w:sz="4" w:space="0" w:color="auto"/>
              <w:bottom w:val="double" w:sz="4" w:space="0" w:color="auto"/>
            </w:tcBorders>
            <w:tcMar>
              <w:top w:w="113" w:type="dxa"/>
              <w:bottom w:w="113" w:type="dxa"/>
            </w:tcMar>
          </w:tcPr>
          <w:p w14:paraId="5A57A8CD" w14:textId="77777777" w:rsidR="00362F84" w:rsidRPr="00575CC5" w:rsidRDefault="00362F84" w:rsidP="7867DE1D">
            <w:pPr>
              <w:rPr>
                <w:noProof/>
                <w:lang w:val="en-IE"/>
              </w:rPr>
            </w:pPr>
            <w:r w:rsidRPr="00575CC5">
              <w:rPr>
                <w:noProof/>
              </w:rPr>
              <w:t>Warsaw Convention</w:t>
            </w:r>
          </w:p>
        </w:tc>
        <w:tc>
          <w:tcPr>
            <w:tcW w:w="5607" w:type="dxa"/>
            <w:tcBorders>
              <w:top w:val="double" w:sz="4" w:space="0" w:color="auto"/>
              <w:bottom w:val="double" w:sz="4" w:space="0" w:color="auto"/>
            </w:tcBorders>
            <w:tcMar>
              <w:top w:w="113" w:type="dxa"/>
              <w:bottom w:w="113" w:type="dxa"/>
            </w:tcMar>
          </w:tcPr>
          <w:p w14:paraId="6FF39883" w14:textId="37FFBE8F" w:rsidR="00362F84" w:rsidRPr="00575CC5" w:rsidRDefault="00573417" w:rsidP="7867DE1D">
            <w:pPr>
              <w:rPr>
                <w:noProof/>
                <w:lang w:val="en-IE"/>
              </w:rPr>
            </w:pPr>
            <w:r w:rsidRPr="00A908E5">
              <w:rPr>
                <w:noProof/>
              </w:rPr>
              <w:t>Council of Europe Convention on Laundering, Search, Seizure and Confiscation of the Proceeds from Crime and on the Financing of Terrorism (CETS No</w:t>
            </w:r>
            <w:r>
              <w:rPr>
                <w:noProof/>
              </w:rPr>
              <w:t> </w:t>
            </w:r>
            <w:r w:rsidRPr="00A908E5">
              <w:rPr>
                <w:noProof/>
              </w:rPr>
              <w:t>198</w:t>
            </w:r>
            <w:r>
              <w:rPr>
                <w:noProof/>
              </w:rPr>
              <w:t>)    </w:t>
            </w:r>
          </w:p>
        </w:tc>
      </w:tr>
      <w:tr w:rsidR="00362F84" w:rsidRPr="00575CC5" w14:paraId="38C6FCE2" w14:textId="77777777" w:rsidTr="0AB4D0A3">
        <w:tc>
          <w:tcPr>
            <w:tcW w:w="3227" w:type="dxa"/>
            <w:tcBorders>
              <w:top w:val="double" w:sz="4" w:space="0" w:color="auto"/>
              <w:bottom w:val="double" w:sz="4" w:space="0" w:color="auto"/>
            </w:tcBorders>
            <w:tcMar>
              <w:top w:w="113" w:type="dxa"/>
              <w:bottom w:w="113" w:type="dxa"/>
            </w:tcMar>
          </w:tcPr>
          <w:p w14:paraId="701BD875" w14:textId="77777777" w:rsidR="00362F84" w:rsidRPr="00575CC5" w:rsidRDefault="00362F84" w:rsidP="7867DE1D">
            <w:pPr>
              <w:rPr>
                <w:noProof/>
              </w:rPr>
            </w:pPr>
            <w:r w:rsidRPr="00575CC5">
              <w:rPr>
                <w:noProof/>
              </w:rPr>
              <w:t>AML</w:t>
            </w:r>
          </w:p>
        </w:tc>
        <w:tc>
          <w:tcPr>
            <w:tcW w:w="5607" w:type="dxa"/>
            <w:tcBorders>
              <w:top w:val="double" w:sz="4" w:space="0" w:color="auto"/>
              <w:bottom w:val="double" w:sz="4" w:space="0" w:color="auto"/>
            </w:tcBorders>
            <w:tcMar>
              <w:top w:w="113" w:type="dxa"/>
              <w:bottom w:w="113" w:type="dxa"/>
            </w:tcMar>
          </w:tcPr>
          <w:p w14:paraId="774BFA1C" w14:textId="77777777" w:rsidR="00362F84" w:rsidRPr="00575CC5" w:rsidRDefault="00362F84" w:rsidP="7867DE1D">
            <w:pPr>
              <w:rPr>
                <w:noProof/>
                <w:lang w:val="fr-BE"/>
              </w:rPr>
            </w:pPr>
            <w:r w:rsidRPr="00575CC5">
              <w:rPr>
                <w:noProof/>
              </w:rPr>
              <w:t>Anti-money laundering</w:t>
            </w:r>
          </w:p>
        </w:tc>
      </w:tr>
      <w:tr w:rsidR="00362F84" w:rsidRPr="00575CC5" w14:paraId="2D126717" w14:textId="77777777" w:rsidTr="0AB4D0A3">
        <w:tc>
          <w:tcPr>
            <w:tcW w:w="3227" w:type="dxa"/>
            <w:tcBorders>
              <w:top w:val="double" w:sz="4" w:space="0" w:color="auto"/>
              <w:bottom w:val="double" w:sz="4" w:space="0" w:color="auto"/>
            </w:tcBorders>
            <w:tcMar>
              <w:top w:w="113" w:type="dxa"/>
              <w:bottom w:w="113" w:type="dxa"/>
            </w:tcMar>
          </w:tcPr>
          <w:p w14:paraId="44E0358E" w14:textId="77777777" w:rsidR="00362F84" w:rsidRPr="00575CC5" w:rsidRDefault="00362F84" w:rsidP="7867DE1D">
            <w:pPr>
              <w:rPr>
                <w:noProof/>
                <w:sz w:val="24"/>
                <w:szCs w:val="24"/>
              </w:rPr>
            </w:pPr>
            <w:r w:rsidRPr="00575CC5">
              <w:rPr>
                <w:rStyle w:val="normaltextrun"/>
                <w:noProof/>
              </w:rPr>
              <w:t>AROs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68735F0D" w14:textId="77777777" w:rsidR="00362F84" w:rsidRPr="00575CC5" w:rsidRDefault="00362F84" w:rsidP="7867DE1D">
            <w:pPr>
              <w:rPr>
                <w:noProof/>
                <w:sz w:val="24"/>
                <w:szCs w:val="24"/>
              </w:rPr>
            </w:pPr>
            <w:r w:rsidRPr="00575CC5">
              <w:rPr>
                <w:rStyle w:val="normaltextrun"/>
                <w:noProof/>
              </w:rPr>
              <w:t>Asset Recovery Offices </w:t>
            </w:r>
            <w:r w:rsidRPr="00575CC5">
              <w:rPr>
                <w:rStyle w:val="eop"/>
                <w:noProof/>
              </w:rPr>
              <w:t> </w:t>
            </w:r>
          </w:p>
        </w:tc>
      </w:tr>
      <w:tr w:rsidR="00362F84" w:rsidRPr="00575CC5" w14:paraId="64FBA914" w14:textId="77777777" w:rsidTr="0AB4D0A3">
        <w:tc>
          <w:tcPr>
            <w:tcW w:w="3227" w:type="dxa"/>
            <w:tcBorders>
              <w:top w:val="double" w:sz="4" w:space="0" w:color="auto"/>
              <w:bottom w:val="double" w:sz="4" w:space="0" w:color="auto"/>
            </w:tcBorders>
            <w:tcMar>
              <w:top w:w="113" w:type="dxa"/>
              <w:bottom w:w="113" w:type="dxa"/>
            </w:tcMar>
          </w:tcPr>
          <w:p w14:paraId="3609B060" w14:textId="77777777" w:rsidR="00362F84" w:rsidRPr="00575CC5" w:rsidRDefault="00362F84" w:rsidP="7867DE1D">
            <w:pPr>
              <w:rPr>
                <w:noProof/>
                <w:sz w:val="24"/>
                <w:szCs w:val="24"/>
              </w:rPr>
            </w:pPr>
            <w:r w:rsidRPr="00575CC5">
              <w:rPr>
                <w:rStyle w:val="normaltextrun"/>
                <w:noProof/>
              </w:rPr>
              <w:t>CEPOL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2CC0369B" w14:textId="77777777" w:rsidR="00362F84" w:rsidRPr="00575CC5" w:rsidRDefault="00362F84" w:rsidP="7867DE1D">
            <w:pPr>
              <w:rPr>
                <w:noProof/>
                <w:sz w:val="24"/>
                <w:szCs w:val="24"/>
              </w:rPr>
            </w:pPr>
            <w:r w:rsidRPr="00575CC5">
              <w:rPr>
                <w:rStyle w:val="normaltextrun"/>
                <w:noProof/>
              </w:rPr>
              <w:t>European Union Agency for Law Enforcement Training </w:t>
            </w:r>
            <w:r w:rsidRPr="00575CC5">
              <w:rPr>
                <w:rStyle w:val="eop"/>
                <w:noProof/>
              </w:rPr>
              <w:t> </w:t>
            </w:r>
          </w:p>
        </w:tc>
      </w:tr>
      <w:tr w:rsidR="00362F84" w:rsidRPr="00575CC5" w14:paraId="00857DD0" w14:textId="77777777" w:rsidTr="0AB4D0A3">
        <w:tc>
          <w:tcPr>
            <w:tcW w:w="3227" w:type="dxa"/>
            <w:tcBorders>
              <w:top w:val="double" w:sz="4" w:space="0" w:color="auto"/>
              <w:bottom w:val="double" w:sz="4" w:space="0" w:color="auto"/>
            </w:tcBorders>
            <w:tcMar>
              <w:top w:w="113" w:type="dxa"/>
              <w:bottom w:w="113" w:type="dxa"/>
            </w:tcMar>
          </w:tcPr>
          <w:p w14:paraId="25925D20" w14:textId="77777777" w:rsidR="00362F84" w:rsidRPr="00575CC5" w:rsidRDefault="00362F84" w:rsidP="7867DE1D">
            <w:pPr>
              <w:rPr>
                <w:noProof/>
                <w:sz w:val="24"/>
                <w:szCs w:val="24"/>
              </w:rPr>
            </w:pPr>
            <w:r w:rsidRPr="00575CC5">
              <w:rPr>
                <w:rStyle w:val="normaltextrun"/>
                <w:noProof/>
              </w:rPr>
              <w:t>CMLD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7B0B6DF0" w14:textId="77777777" w:rsidR="00362F84" w:rsidRPr="00575CC5" w:rsidRDefault="00362F84" w:rsidP="7867DE1D">
            <w:pPr>
              <w:rPr>
                <w:noProof/>
                <w:sz w:val="24"/>
                <w:szCs w:val="24"/>
              </w:rPr>
            </w:pPr>
            <w:r w:rsidRPr="00575CC5">
              <w:rPr>
                <w:rStyle w:val="normaltextrun"/>
                <w:noProof/>
              </w:rPr>
              <w:t>Directive (EU) 2018/1673 on the criminalisation of money laundering </w:t>
            </w:r>
            <w:r w:rsidRPr="00575CC5">
              <w:rPr>
                <w:rStyle w:val="eop"/>
                <w:noProof/>
              </w:rPr>
              <w:t> </w:t>
            </w:r>
          </w:p>
        </w:tc>
      </w:tr>
      <w:tr w:rsidR="00362F84" w:rsidRPr="00575CC5" w14:paraId="205BF0A9" w14:textId="77777777" w:rsidTr="0AB4D0A3">
        <w:tc>
          <w:tcPr>
            <w:tcW w:w="3227" w:type="dxa"/>
            <w:tcBorders>
              <w:top w:val="double" w:sz="4" w:space="0" w:color="auto"/>
              <w:bottom w:val="double" w:sz="4" w:space="0" w:color="auto"/>
            </w:tcBorders>
            <w:tcMar>
              <w:top w:w="113" w:type="dxa"/>
              <w:bottom w:w="113" w:type="dxa"/>
            </w:tcMar>
          </w:tcPr>
          <w:p w14:paraId="1C383E26" w14:textId="77777777" w:rsidR="00362F84" w:rsidRPr="00575CC5" w:rsidRDefault="00362F84" w:rsidP="7867DE1D">
            <w:pPr>
              <w:rPr>
                <w:noProof/>
                <w:sz w:val="24"/>
                <w:szCs w:val="24"/>
              </w:rPr>
            </w:pPr>
            <w:r w:rsidRPr="00575CC5">
              <w:rPr>
                <w:rStyle w:val="normaltextrun"/>
                <w:noProof/>
              </w:rPr>
              <w:t>DG HOME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34B50A61" w14:textId="77777777" w:rsidR="00362F84" w:rsidRPr="00575CC5" w:rsidRDefault="00362F84" w:rsidP="7867DE1D">
            <w:pPr>
              <w:rPr>
                <w:noProof/>
                <w:sz w:val="24"/>
                <w:szCs w:val="24"/>
              </w:rPr>
            </w:pPr>
            <w:r w:rsidRPr="00575CC5">
              <w:rPr>
                <w:rStyle w:val="normaltextrun"/>
                <w:noProof/>
              </w:rPr>
              <w:t>Directorate-General Migration and Home Affairs of the European Commission </w:t>
            </w:r>
            <w:r w:rsidRPr="00575CC5">
              <w:rPr>
                <w:rStyle w:val="eop"/>
                <w:noProof/>
              </w:rPr>
              <w:t> </w:t>
            </w:r>
          </w:p>
        </w:tc>
      </w:tr>
      <w:tr w:rsidR="00362F84" w:rsidRPr="00575CC5" w14:paraId="0C97D862" w14:textId="77777777" w:rsidTr="0AB4D0A3">
        <w:tc>
          <w:tcPr>
            <w:tcW w:w="3227" w:type="dxa"/>
            <w:tcBorders>
              <w:top w:val="double" w:sz="4" w:space="0" w:color="auto"/>
              <w:bottom w:val="double" w:sz="4" w:space="0" w:color="auto"/>
            </w:tcBorders>
            <w:tcMar>
              <w:top w:w="113" w:type="dxa"/>
              <w:bottom w:w="113" w:type="dxa"/>
            </w:tcMar>
          </w:tcPr>
          <w:p w14:paraId="0FCA5718" w14:textId="77777777" w:rsidR="00362F84" w:rsidRPr="00575CC5" w:rsidRDefault="00362F84" w:rsidP="7867DE1D">
            <w:pPr>
              <w:rPr>
                <w:noProof/>
                <w:sz w:val="24"/>
                <w:szCs w:val="24"/>
              </w:rPr>
            </w:pPr>
            <w:r w:rsidRPr="00575CC5">
              <w:rPr>
                <w:rStyle w:val="normaltextrun"/>
                <w:noProof/>
              </w:rPr>
              <w:t>EMPACT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607BE89E" w14:textId="77777777" w:rsidR="00362F84" w:rsidRPr="00575CC5" w:rsidRDefault="00362F84" w:rsidP="7867DE1D">
            <w:pPr>
              <w:rPr>
                <w:noProof/>
                <w:sz w:val="24"/>
                <w:szCs w:val="24"/>
              </w:rPr>
            </w:pPr>
            <w:bookmarkStart w:id="2" w:name="_Hlk217295612"/>
            <w:r w:rsidRPr="00575CC5">
              <w:rPr>
                <w:rStyle w:val="normaltextrun"/>
                <w:noProof/>
              </w:rPr>
              <w:t>European Multidisciplinary Platform Against Criminal Threats </w:t>
            </w:r>
            <w:r w:rsidRPr="00575CC5">
              <w:rPr>
                <w:rStyle w:val="eop"/>
                <w:noProof/>
              </w:rPr>
              <w:t> </w:t>
            </w:r>
            <w:bookmarkEnd w:id="2"/>
          </w:p>
        </w:tc>
      </w:tr>
      <w:tr w:rsidR="00362F84" w:rsidRPr="00575CC5" w14:paraId="6CB12887" w14:textId="77777777" w:rsidTr="0AB4D0A3">
        <w:tc>
          <w:tcPr>
            <w:tcW w:w="3227" w:type="dxa"/>
            <w:tcBorders>
              <w:top w:val="double" w:sz="4" w:space="0" w:color="auto"/>
              <w:bottom w:val="double" w:sz="4" w:space="0" w:color="auto"/>
            </w:tcBorders>
            <w:tcMar>
              <w:top w:w="113" w:type="dxa"/>
              <w:bottom w:w="113" w:type="dxa"/>
            </w:tcMar>
          </w:tcPr>
          <w:p w14:paraId="3854D90E" w14:textId="77777777" w:rsidR="00362F84" w:rsidRPr="00575CC5" w:rsidRDefault="00362F84" w:rsidP="7867DE1D">
            <w:pPr>
              <w:rPr>
                <w:noProof/>
                <w:sz w:val="24"/>
                <w:szCs w:val="24"/>
              </w:rPr>
            </w:pPr>
            <w:r w:rsidRPr="00575CC5">
              <w:rPr>
                <w:rStyle w:val="normaltextrun"/>
                <w:noProof/>
              </w:rPr>
              <w:t>Eurojust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2A17C36E" w14:textId="77777777" w:rsidR="00362F84" w:rsidRPr="00575CC5" w:rsidRDefault="00362F84" w:rsidP="7867DE1D">
            <w:pPr>
              <w:rPr>
                <w:noProof/>
                <w:sz w:val="24"/>
                <w:szCs w:val="24"/>
              </w:rPr>
            </w:pPr>
            <w:r w:rsidRPr="00575CC5">
              <w:rPr>
                <w:rStyle w:val="normaltextrun"/>
                <w:noProof/>
              </w:rPr>
              <w:t>European Union Agency for Criminal Justice Cooperation </w:t>
            </w:r>
            <w:r w:rsidRPr="00575CC5">
              <w:rPr>
                <w:rStyle w:val="eop"/>
                <w:noProof/>
              </w:rPr>
              <w:t> </w:t>
            </w:r>
          </w:p>
        </w:tc>
      </w:tr>
      <w:tr w:rsidR="00362F84" w:rsidRPr="00575CC5" w14:paraId="2D9F47EB" w14:textId="77777777" w:rsidTr="0AB4D0A3">
        <w:tc>
          <w:tcPr>
            <w:tcW w:w="3227" w:type="dxa"/>
            <w:tcBorders>
              <w:top w:val="double" w:sz="4" w:space="0" w:color="auto"/>
              <w:bottom w:val="double" w:sz="4" w:space="0" w:color="auto"/>
            </w:tcBorders>
            <w:tcMar>
              <w:top w:w="113" w:type="dxa"/>
              <w:bottom w:w="113" w:type="dxa"/>
            </w:tcMar>
          </w:tcPr>
          <w:p w14:paraId="636CAD84" w14:textId="77777777" w:rsidR="00362F84" w:rsidRPr="00575CC5" w:rsidRDefault="00362F84" w:rsidP="7867DE1D">
            <w:pPr>
              <w:rPr>
                <w:noProof/>
                <w:sz w:val="24"/>
                <w:szCs w:val="24"/>
              </w:rPr>
            </w:pPr>
            <w:r w:rsidRPr="00575CC5">
              <w:rPr>
                <w:rStyle w:val="normaltextrun"/>
                <w:noProof/>
              </w:rPr>
              <w:t>Europol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5B497F23" w14:textId="77777777" w:rsidR="00362F84" w:rsidRPr="00575CC5" w:rsidRDefault="00362F84" w:rsidP="7867DE1D">
            <w:pPr>
              <w:rPr>
                <w:noProof/>
                <w:sz w:val="24"/>
                <w:szCs w:val="24"/>
              </w:rPr>
            </w:pPr>
            <w:r w:rsidRPr="00575CC5">
              <w:rPr>
                <w:rStyle w:val="normaltextrun"/>
                <w:noProof/>
              </w:rPr>
              <w:t>European Union Agency for Law Enforcement Cooperation </w:t>
            </w:r>
            <w:r w:rsidRPr="00575CC5">
              <w:rPr>
                <w:rStyle w:val="eop"/>
                <w:noProof/>
              </w:rPr>
              <w:t> </w:t>
            </w:r>
          </w:p>
        </w:tc>
      </w:tr>
      <w:tr w:rsidR="00362F84" w:rsidRPr="00575CC5" w14:paraId="7F0A06D4" w14:textId="77777777" w:rsidTr="0AB4D0A3">
        <w:tc>
          <w:tcPr>
            <w:tcW w:w="3227" w:type="dxa"/>
            <w:tcBorders>
              <w:top w:val="double" w:sz="4" w:space="0" w:color="auto"/>
              <w:bottom w:val="double" w:sz="4" w:space="0" w:color="auto"/>
            </w:tcBorders>
            <w:tcMar>
              <w:top w:w="113" w:type="dxa"/>
              <w:bottom w:w="113" w:type="dxa"/>
            </w:tcMar>
          </w:tcPr>
          <w:p w14:paraId="5296D2EB" w14:textId="77777777" w:rsidR="00362F84" w:rsidRPr="00575CC5" w:rsidRDefault="00362F84" w:rsidP="7867DE1D">
            <w:pPr>
              <w:rPr>
                <w:noProof/>
                <w:sz w:val="24"/>
                <w:szCs w:val="24"/>
              </w:rPr>
            </w:pPr>
            <w:r w:rsidRPr="00575CC5">
              <w:rPr>
                <w:rStyle w:val="normaltextrun"/>
                <w:noProof/>
              </w:rPr>
              <w:t>EJTN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7F266552" w14:textId="5188A32E" w:rsidR="00362F84" w:rsidRPr="00575CC5" w:rsidRDefault="00362F84" w:rsidP="7867DE1D">
            <w:pPr>
              <w:rPr>
                <w:noProof/>
                <w:sz w:val="24"/>
                <w:szCs w:val="24"/>
              </w:rPr>
            </w:pPr>
            <w:r w:rsidRPr="00575CC5">
              <w:rPr>
                <w:rStyle w:val="normaltextrun"/>
                <w:noProof/>
              </w:rPr>
              <w:t xml:space="preserve">European Judicial Training Network </w:t>
            </w:r>
          </w:p>
        </w:tc>
      </w:tr>
      <w:tr w:rsidR="00362F84" w:rsidRPr="00575CC5" w14:paraId="5C325C5C" w14:textId="77777777" w:rsidTr="0AB4D0A3">
        <w:tc>
          <w:tcPr>
            <w:tcW w:w="3227" w:type="dxa"/>
            <w:tcBorders>
              <w:top w:val="double" w:sz="4" w:space="0" w:color="auto"/>
              <w:bottom w:val="double" w:sz="4" w:space="0" w:color="auto"/>
            </w:tcBorders>
            <w:tcMar>
              <w:top w:w="113" w:type="dxa"/>
              <w:bottom w:w="113" w:type="dxa"/>
            </w:tcMar>
          </w:tcPr>
          <w:p w14:paraId="3EB4DF96" w14:textId="77777777" w:rsidR="00362F84" w:rsidRPr="00575CC5" w:rsidRDefault="00362F84" w:rsidP="7867DE1D">
            <w:pPr>
              <w:rPr>
                <w:noProof/>
                <w:sz w:val="24"/>
                <w:szCs w:val="24"/>
              </w:rPr>
            </w:pPr>
            <w:r w:rsidRPr="00575CC5">
              <w:rPr>
                <w:rStyle w:val="normaltextrun"/>
                <w:noProof/>
              </w:rPr>
              <w:t>EPPO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3BF25EF9" w14:textId="77777777" w:rsidR="00362F84" w:rsidRPr="00575CC5" w:rsidRDefault="00362F84" w:rsidP="7867DE1D">
            <w:pPr>
              <w:rPr>
                <w:noProof/>
                <w:sz w:val="24"/>
                <w:szCs w:val="24"/>
              </w:rPr>
            </w:pPr>
            <w:r w:rsidRPr="00575CC5">
              <w:rPr>
                <w:rStyle w:val="normaltextrun"/>
                <w:noProof/>
              </w:rPr>
              <w:t>European Public Prosecutor’s Office </w:t>
            </w:r>
            <w:r w:rsidRPr="00575CC5">
              <w:rPr>
                <w:rStyle w:val="eop"/>
                <w:noProof/>
              </w:rPr>
              <w:t> </w:t>
            </w:r>
          </w:p>
        </w:tc>
      </w:tr>
      <w:tr w:rsidR="00362F84" w:rsidRPr="00575CC5" w14:paraId="3D837889" w14:textId="77777777" w:rsidTr="0AB4D0A3">
        <w:tc>
          <w:tcPr>
            <w:tcW w:w="3227" w:type="dxa"/>
            <w:tcBorders>
              <w:top w:val="double" w:sz="4" w:space="0" w:color="auto"/>
              <w:bottom w:val="double" w:sz="4" w:space="0" w:color="auto"/>
            </w:tcBorders>
            <w:tcMar>
              <w:top w:w="113" w:type="dxa"/>
              <w:bottom w:w="113" w:type="dxa"/>
            </w:tcMar>
          </w:tcPr>
          <w:p w14:paraId="1E5DE328" w14:textId="77777777" w:rsidR="00362F84" w:rsidRPr="00575CC5" w:rsidRDefault="00362F84" w:rsidP="7867DE1D">
            <w:pPr>
              <w:rPr>
                <w:noProof/>
                <w:sz w:val="24"/>
                <w:szCs w:val="24"/>
              </w:rPr>
            </w:pPr>
            <w:r w:rsidRPr="00575CC5">
              <w:rPr>
                <w:rStyle w:val="normaltextrun"/>
                <w:noProof/>
              </w:rPr>
              <w:t>FATF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12E02F4E" w14:textId="77777777" w:rsidR="00362F84" w:rsidRPr="00575CC5" w:rsidRDefault="00362F84" w:rsidP="7867DE1D">
            <w:pPr>
              <w:rPr>
                <w:noProof/>
                <w:sz w:val="24"/>
                <w:szCs w:val="24"/>
              </w:rPr>
            </w:pPr>
            <w:r w:rsidRPr="00575CC5">
              <w:rPr>
                <w:rStyle w:val="normaltextrun"/>
                <w:noProof/>
              </w:rPr>
              <w:t>Financial Action Task Force </w:t>
            </w:r>
            <w:r w:rsidRPr="00575CC5">
              <w:rPr>
                <w:rStyle w:val="eop"/>
                <w:noProof/>
              </w:rPr>
              <w:t> </w:t>
            </w:r>
          </w:p>
        </w:tc>
      </w:tr>
      <w:tr w:rsidR="00362F84" w:rsidRPr="00575CC5" w14:paraId="37DC4254" w14:textId="77777777" w:rsidTr="0AB4D0A3">
        <w:tc>
          <w:tcPr>
            <w:tcW w:w="3227" w:type="dxa"/>
            <w:tcBorders>
              <w:top w:val="double" w:sz="4" w:space="0" w:color="auto"/>
              <w:bottom w:val="double" w:sz="4" w:space="0" w:color="auto"/>
            </w:tcBorders>
            <w:tcMar>
              <w:top w:w="113" w:type="dxa"/>
              <w:bottom w:w="113" w:type="dxa"/>
            </w:tcMar>
          </w:tcPr>
          <w:p w14:paraId="77B3F842" w14:textId="77777777" w:rsidR="00362F84" w:rsidRPr="00575CC5" w:rsidRDefault="00362F84" w:rsidP="7867DE1D">
            <w:pPr>
              <w:rPr>
                <w:noProof/>
                <w:sz w:val="24"/>
                <w:szCs w:val="24"/>
              </w:rPr>
            </w:pPr>
            <w:r w:rsidRPr="00575CC5">
              <w:rPr>
                <w:rStyle w:val="normaltextrun"/>
                <w:noProof/>
              </w:rPr>
              <w:t>FIUs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4E47E9AC" w14:textId="77777777" w:rsidR="00362F84" w:rsidRPr="00575CC5" w:rsidRDefault="00362F84" w:rsidP="7867DE1D">
            <w:pPr>
              <w:rPr>
                <w:noProof/>
                <w:sz w:val="24"/>
                <w:szCs w:val="24"/>
              </w:rPr>
            </w:pPr>
            <w:r w:rsidRPr="00575CC5">
              <w:rPr>
                <w:rStyle w:val="normaltextrun"/>
                <w:noProof/>
              </w:rPr>
              <w:t>Financial Intelligence Units </w:t>
            </w:r>
            <w:r w:rsidRPr="00575CC5">
              <w:rPr>
                <w:rStyle w:val="eop"/>
                <w:noProof/>
              </w:rPr>
              <w:t> </w:t>
            </w:r>
          </w:p>
        </w:tc>
      </w:tr>
      <w:tr w:rsidR="00362F84" w:rsidRPr="00575CC5" w14:paraId="071FE61D" w14:textId="77777777" w:rsidTr="0AB4D0A3">
        <w:tc>
          <w:tcPr>
            <w:tcW w:w="3227" w:type="dxa"/>
            <w:tcBorders>
              <w:top w:val="double" w:sz="4" w:space="0" w:color="auto"/>
              <w:bottom w:val="double" w:sz="4" w:space="0" w:color="auto"/>
            </w:tcBorders>
            <w:tcMar>
              <w:top w:w="113" w:type="dxa"/>
              <w:bottom w:w="113" w:type="dxa"/>
            </w:tcMar>
          </w:tcPr>
          <w:p w14:paraId="17E95800" w14:textId="77777777" w:rsidR="00362F84" w:rsidRPr="00575CC5" w:rsidRDefault="00362F84" w:rsidP="7867DE1D">
            <w:pPr>
              <w:rPr>
                <w:noProof/>
                <w:sz w:val="24"/>
                <w:szCs w:val="24"/>
              </w:rPr>
            </w:pPr>
            <w:r w:rsidRPr="00575CC5">
              <w:rPr>
                <w:rStyle w:val="normaltextrun"/>
                <w:noProof/>
              </w:rPr>
              <w:t>FRA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6DE1B66A" w14:textId="77777777" w:rsidR="00362F84" w:rsidRPr="00575CC5" w:rsidRDefault="00362F84" w:rsidP="7867DE1D">
            <w:pPr>
              <w:rPr>
                <w:noProof/>
                <w:sz w:val="24"/>
                <w:szCs w:val="24"/>
              </w:rPr>
            </w:pPr>
            <w:r w:rsidRPr="00575CC5">
              <w:rPr>
                <w:rStyle w:val="normaltextrun"/>
                <w:noProof/>
              </w:rPr>
              <w:t>European Union Agency for Fundamental Rights </w:t>
            </w:r>
            <w:r w:rsidRPr="00575CC5">
              <w:rPr>
                <w:rStyle w:val="eop"/>
                <w:noProof/>
              </w:rPr>
              <w:t> </w:t>
            </w:r>
          </w:p>
        </w:tc>
      </w:tr>
      <w:tr w:rsidR="00362F84" w:rsidRPr="00575CC5" w14:paraId="058A3754" w14:textId="77777777" w:rsidTr="0AB4D0A3">
        <w:tc>
          <w:tcPr>
            <w:tcW w:w="3227" w:type="dxa"/>
            <w:tcBorders>
              <w:top w:val="double" w:sz="4" w:space="0" w:color="auto"/>
              <w:bottom w:val="double" w:sz="4" w:space="0" w:color="auto"/>
            </w:tcBorders>
            <w:tcMar>
              <w:top w:w="113" w:type="dxa"/>
              <w:bottom w:w="113" w:type="dxa"/>
            </w:tcMar>
          </w:tcPr>
          <w:p w14:paraId="6DCBA5B2" w14:textId="63A7B6CB" w:rsidR="00362F84" w:rsidRPr="00575CC5" w:rsidRDefault="00B2690B" w:rsidP="0AB4D0A3">
            <w:pPr>
              <w:rPr>
                <w:noProof/>
                <w:sz w:val="24"/>
                <w:szCs w:val="24"/>
              </w:rPr>
            </w:pPr>
            <w:r>
              <w:rPr>
                <w:rStyle w:val="normaltextrun"/>
                <w:noProof/>
              </w:rPr>
              <w:t>INTERPOL</w:t>
            </w:r>
          </w:p>
        </w:tc>
        <w:tc>
          <w:tcPr>
            <w:tcW w:w="5607" w:type="dxa"/>
            <w:tcBorders>
              <w:top w:val="double" w:sz="4" w:space="0" w:color="auto"/>
              <w:bottom w:val="double" w:sz="4" w:space="0" w:color="auto"/>
            </w:tcBorders>
            <w:tcMar>
              <w:top w:w="113" w:type="dxa"/>
              <w:bottom w:w="113" w:type="dxa"/>
            </w:tcMar>
          </w:tcPr>
          <w:p w14:paraId="38A0A296" w14:textId="77777777" w:rsidR="00362F84" w:rsidRPr="00575CC5" w:rsidRDefault="00362F84" w:rsidP="0AB4D0A3">
            <w:pPr>
              <w:rPr>
                <w:noProof/>
                <w:sz w:val="24"/>
                <w:szCs w:val="24"/>
              </w:rPr>
            </w:pPr>
            <w:r w:rsidRPr="00575CC5">
              <w:rPr>
                <w:rStyle w:val="normaltextrun"/>
                <w:noProof/>
              </w:rPr>
              <w:t>International Criminal Police Organisation </w:t>
            </w:r>
            <w:r w:rsidRPr="00575CC5">
              <w:rPr>
                <w:rStyle w:val="eop"/>
                <w:noProof/>
              </w:rPr>
              <w:t> </w:t>
            </w:r>
          </w:p>
        </w:tc>
      </w:tr>
      <w:tr w:rsidR="00362F84" w:rsidRPr="00575CC5" w14:paraId="7BD9B114" w14:textId="77777777" w:rsidTr="0AB4D0A3">
        <w:tc>
          <w:tcPr>
            <w:tcW w:w="3227" w:type="dxa"/>
            <w:tcBorders>
              <w:top w:val="double" w:sz="4" w:space="0" w:color="auto"/>
              <w:bottom w:val="double" w:sz="4" w:space="0" w:color="auto"/>
            </w:tcBorders>
            <w:tcMar>
              <w:top w:w="113" w:type="dxa"/>
              <w:bottom w:w="113" w:type="dxa"/>
            </w:tcMar>
          </w:tcPr>
          <w:p w14:paraId="474D495F" w14:textId="77777777" w:rsidR="00362F84" w:rsidRPr="00575CC5" w:rsidRDefault="00362F84" w:rsidP="0AB4D0A3">
            <w:pPr>
              <w:rPr>
                <w:noProof/>
                <w:sz w:val="24"/>
                <w:szCs w:val="24"/>
              </w:rPr>
            </w:pPr>
            <w:r w:rsidRPr="00575CC5">
              <w:rPr>
                <w:rStyle w:val="normaltextrun"/>
                <w:noProof/>
              </w:rPr>
              <w:t>LEAs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7B04A277" w14:textId="71404421" w:rsidR="00362F84" w:rsidRPr="00575CC5" w:rsidRDefault="00362F84" w:rsidP="0AB4D0A3">
            <w:pPr>
              <w:rPr>
                <w:noProof/>
                <w:sz w:val="24"/>
                <w:szCs w:val="24"/>
              </w:rPr>
            </w:pPr>
            <w:r w:rsidRPr="00575CC5">
              <w:rPr>
                <w:rStyle w:val="normaltextrun"/>
                <w:noProof/>
              </w:rPr>
              <w:t xml:space="preserve">Law </w:t>
            </w:r>
            <w:r w:rsidR="00792835">
              <w:rPr>
                <w:rStyle w:val="normaltextrun"/>
                <w:noProof/>
              </w:rPr>
              <w:t>e</w:t>
            </w:r>
            <w:r w:rsidR="00792835" w:rsidRPr="00575CC5">
              <w:rPr>
                <w:rStyle w:val="normaltextrun"/>
                <w:noProof/>
              </w:rPr>
              <w:t xml:space="preserve">nforcement </w:t>
            </w:r>
            <w:r w:rsidR="00792835">
              <w:rPr>
                <w:rStyle w:val="normaltextrun"/>
                <w:noProof/>
              </w:rPr>
              <w:t>a</w:t>
            </w:r>
            <w:r w:rsidR="00792835" w:rsidRPr="00575CC5">
              <w:rPr>
                <w:rStyle w:val="normaltextrun"/>
                <w:noProof/>
              </w:rPr>
              <w:t>gencies </w:t>
            </w:r>
            <w:r w:rsidR="00792835" w:rsidRPr="00575CC5">
              <w:rPr>
                <w:rStyle w:val="eop"/>
                <w:noProof/>
              </w:rPr>
              <w:t> </w:t>
            </w:r>
          </w:p>
        </w:tc>
      </w:tr>
      <w:tr w:rsidR="00362F84" w:rsidRPr="00575CC5" w14:paraId="1E19F7C3" w14:textId="77777777" w:rsidTr="0AB4D0A3">
        <w:tc>
          <w:tcPr>
            <w:tcW w:w="3227" w:type="dxa"/>
            <w:tcBorders>
              <w:top w:val="double" w:sz="4" w:space="0" w:color="auto"/>
              <w:bottom w:val="double" w:sz="4" w:space="0" w:color="auto"/>
            </w:tcBorders>
            <w:tcMar>
              <w:top w:w="113" w:type="dxa"/>
              <w:bottom w:w="113" w:type="dxa"/>
            </w:tcMar>
          </w:tcPr>
          <w:p w14:paraId="63676D87" w14:textId="77777777" w:rsidR="00362F84" w:rsidRPr="00575CC5" w:rsidRDefault="00362F84" w:rsidP="00362F84">
            <w:pPr>
              <w:rPr>
                <w:noProof/>
                <w:sz w:val="24"/>
                <w:szCs w:val="24"/>
              </w:rPr>
            </w:pPr>
            <w:r w:rsidRPr="00575CC5">
              <w:rPr>
                <w:rStyle w:val="normaltextrun"/>
                <w:noProof/>
              </w:rPr>
              <w:t>Moneyval </w:t>
            </w:r>
            <w:r w:rsidRPr="00575CC5">
              <w:rPr>
                <w:rStyle w:val="eop"/>
                <w:noProof/>
              </w:rPr>
              <w:t> </w:t>
            </w:r>
          </w:p>
        </w:tc>
        <w:tc>
          <w:tcPr>
            <w:tcW w:w="5607" w:type="dxa"/>
            <w:tcBorders>
              <w:top w:val="double" w:sz="4" w:space="0" w:color="auto"/>
              <w:bottom w:val="double" w:sz="4" w:space="0" w:color="auto"/>
            </w:tcBorders>
            <w:tcMar>
              <w:top w:w="113" w:type="dxa"/>
              <w:bottom w:w="113" w:type="dxa"/>
            </w:tcMar>
          </w:tcPr>
          <w:p w14:paraId="11E1CA48" w14:textId="67AC0BBE" w:rsidR="00362F84" w:rsidRPr="00575CC5" w:rsidRDefault="00362F84" w:rsidP="00362F84">
            <w:pPr>
              <w:rPr>
                <w:noProof/>
                <w:sz w:val="24"/>
                <w:szCs w:val="24"/>
              </w:rPr>
            </w:pPr>
            <w:r w:rsidRPr="00575CC5">
              <w:rPr>
                <w:rStyle w:val="normaltextrun"/>
                <w:noProof/>
              </w:rPr>
              <w:t>Committee of Experts on the Evaluation of Anti-Money Laundering Measures and the Financing of Terrorism  </w:t>
            </w:r>
            <w:r w:rsidRPr="00575CC5">
              <w:rPr>
                <w:rStyle w:val="eop"/>
                <w:noProof/>
              </w:rPr>
              <w:t> </w:t>
            </w:r>
          </w:p>
        </w:tc>
      </w:tr>
      <w:tr w:rsidR="00362F84" w:rsidRPr="00575CC5" w14:paraId="395130CD" w14:textId="77777777" w:rsidTr="0AB4D0A3">
        <w:tc>
          <w:tcPr>
            <w:tcW w:w="3227" w:type="dxa"/>
            <w:tcBorders>
              <w:top w:val="double" w:sz="4" w:space="0" w:color="auto"/>
            </w:tcBorders>
            <w:tcMar>
              <w:top w:w="113" w:type="dxa"/>
              <w:bottom w:w="113" w:type="dxa"/>
            </w:tcMar>
          </w:tcPr>
          <w:p w14:paraId="67FCF4C5" w14:textId="77777777" w:rsidR="00362F84" w:rsidRPr="00575CC5" w:rsidRDefault="00362F84" w:rsidP="00362F84">
            <w:pPr>
              <w:rPr>
                <w:noProof/>
                <w:sz w:val="24"/>
                <w:szCs w:val="24"/>
              </w:rPr>
            </w:pPr>
            <w:r w:rsidRPr="00575CC5">
              <w:rPr>
                <w:rStyle w:val="normaltextrun"/>
                <w:noProof/>
              </w:rPr>
              <w:t>TFEU </w:t>
            </w:r>
            <w:r w:rsidRPr="00575CC5">
              <w:rPr>
                <w:rStyle w:val="eop"/>
                <w:noProof/>
              </w:rPr>
              <w:t> </w:t>
            </w:r>
          </w:p>
        </w:tc>
        <w:tc>
          <w:tcPr>
            <w:tcW w:w="5607" w:type="dxa"/>
            <w:tcBorders>
              <w:top w:val="double" w:sz="4" w:space="0" w:color="auto"/>
            </w:tcBorders>
            <w:tcMar>
              <w:top w:w="113" w:type="dxa"/>
              <w:bottom w:w="113" w:type="dxa"/>
            </w:tcMar>
          </w:tcPr>
          <w:p w14:paraId="6E471DDA" w14:textId="77777777" w:rsidR="00362F84" w:rsidRPr="00575CC5" w:rsidRDefault="00362F84" w:rsidP="00362F84">
            <w:pPr>
              <w:rPr>
                <w:noProof/>
                <w:sz w:val="24"/>
                <w:szCs w:val="24"/>
              </w:rPr>
            </w:pPr>
            <w:r w:rsidRPr="00575CC5">
              <w:rPr>
                <w:rStyle w:val="normaltextrun"/>
                <w:noProof/>
              </w:rPr>
              <w:t>Treaty on the Functioning of the European Union  </w:t>
            </w:r>
            <w:r w:rsidRPr="00575CC5">
              <w:rPr>
                <w:rStyle w:val="eop"/>
                <w:noProof/>
              </w:rPr>
              <w:t> </w:t>
            </w:r>
          </w:p>
        </w:tc>
      </w:tr>
      <w:tr w:rsidR="00362F84" w:rsidRPr="00575CC5" w14:paraId="2DBC51E7" w14:textId="77777777" w:rsidTr="0AB4D0A3">
        <w:tc>
          <w:tcPr>
            <w:tcW w:w="3227" w:type="dxa"/>
            <w:tcBorders>
              <w:top w:val="double" w:sz="4" w:space="0" w:color="auto"/>
            </w:tcBorders>
            <w:tcMar>
              <w:top w:w="113" w:type="dxa"/>
              <w:bottom w:w="113" w:type="dxa"/>
            </w:tcMar>
          </w:tcPr>
          <w:p w14:paraId="7ACA0501" w14:textId="77777777" w:rsidR="00362F84" w:rsidRPr="00575CC5" w:rsidRDefault="00362F84" w:rsidP="00362F84">
            <w:pPr>
              <w:rPr>
                <w:noProof/>
                <w:sz w:val="24"/>
                <w:szCs w:val="24"/>
              </w:rPr>
            </w:pPr>
            <w:r w:rsidRPr="00575CC5">
              <w:rPr>
                <w:rStyle w:val="normaltextrun"/>
                <w:noProof/>
              </w:rPr>
              <w:t>UNODC </w:t>
            </w:r>
            <w:r w:rsidRPr="00575CC5">
              <w:rPr>
                <w:rStyle w:val="eop"/>
                <w:noProof/>
              </w:rPr>
              <w:t> </w:t>
            </w:r>
          </w:p>
        </w:tc>
        <w:tc>
          <w:tcPr>
            <w:tcW w:w="5607" w:type="dxa"/>
            <w:tcBorders>
              <w:top w:val="double" w:sz="4" w:space="0" w:color="auto"/>
            </w:tcBorders>
            <w:tcMar>
              <w:top w:w="113" w:type="dxa"/>
              <w:bottom w:w="113" w:type="dxa"/>
            </w:tcMar>
          </w:tcPr>
          <w:p w14:paraId="332F0414" w14:textId="77777777" w:rsidR="00362F84" w:rsidRPr="00575CC5" w:rsidRDefault="00362F84" w:rsidP="00362F84">
            <w:pPr>
              <w:rPr>
                <w:noProof/>
                <w:sz w:val="24"/>
                <w:szCs w:val="24"/>
              </w:rPr>
            </w:pPr>
            <w:r w:rsidRPr="00575CC5">
              <w:rPr>
                <w:rStyle w:val="normaltextrun"/>
                <w:noProof/>
              </w:rPr>
              <w:t>United Nations Office on Drugs and Crime  </w:t>
            </w:r>
            <w:r w:rsidRPr="00575CC5">
              <w:rPr>
                <w:rStyle w:val="eop"/>
                <w:noProof/>
              </w:rPr>
              <w:t> </w:t>
            </w:r>
          </w:p>
        </w:tc>
      </w:tr>
    </w:tbl>
    <w:p w14:paraId="685E2AB0" w14:textId="77777777" w:rsidR="008530D4" w:rsidRPr="00575CC5" w:rsidRDefault="008530D4" w:rsidP="008530D4">
      <w:pPr>
        <w:rPr>
          <w:rFonts w:ascii="Times New Roman" w:hAnsi="Times New Roman" w:cs="Times New Roman"/>
          <w:noProof/>
          <w:sz w:val="24"/>
          <w:szCs w:val="24"/>
          <w:lang w:val="en-IE"/>
        </w:rPr>
        <w:sectPr w:rsidR="008530D4" w:rsidRPr="00575CC5" w:rsidSect="001D728F">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0"/>
          <w:cols w:space="720"/>
          <w:titlePg/>
        </w:sectPr>
      </w:pPr>
    </w:p>
    <w:p w14:paraId="7F98964C" w14:textId="3EF04968" w:rsidR="008530D4" w:rsidRPr="00575CC5" w:rsidRDefault="008530D4" w:rsidP="00147D71">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3" w:name="_Toc42093669"/>
      <w:bookmarkStart w:id="4" w:name="_Toc42093880"/>
      <w:bookmarkStart w:id="5" w:name="_Toc223439242"/>
      <w:r w:rsidRPr="00575CC5">
        <w:rPr>
          <w:noProof/>
          <w:szCs w:val="24"/>
        </w:rPr>
        <w:t>Introduction</w:t>
      </w:r>
      <w:bookmarkEnd w:id="3"/>
      <w:bookmarkEnd w:id="4"/>
      <w:bookmarkEnd w:id="5"/>
    </w:p>
    <w:p w14:paraId="1BCAE530" w14:textId="49829EEC" w:rsidR="008530D4" w:rsidRPr="00575CC5" w:rsidRDefault="00F84165" w:rsidP="00BB3734">
      <w:pPr>
        <w:pStyle w:val="Heading2"/>
        <w:numPr>
          <w:ilvl w:val="1"/>
          <w:numId w:val="18"/>
        </w:numPr>
        <w:rPr>
          <w:noProof/>
          <w:szCs w:val="24"/>
        </w:rPr>
      </w:pPr>
      <w:bookmarkStart w:id="6" w:name="_Toc223439243"/>
      <w:r w:rsidRPr="00575CC5">
        <w:rPr>
          <w:noProof/>
          <w:szCs w:val="24"/>
        </w:rPr>
        <w:t xml:space="preserve">General </w:t>
      </w:r>
      <w:r w:rsidR="00AF4BC6">
        <w:rPr>
          <w:noProof/>
          <w:szCs w:val="24"/>
        </w:rPr>
        <w:t>i</w:t>
      </w:r>
      <w:r w:rsidRPr="00575CC5">
        <w:rPr>
          <w:noProof/>
          <w:szCs w:val="24"/>
        </w:rPr>
        <w:t>ntroduction</w:t>
      </w:r>
      <w:r w:rsidR="004B1B78">
        <w:rPr>
          <w:rStyle w:val="FootnoteReference"/>
          <w:noProof/>
          <w:szCs w:val="24"/>
        </w:rPr>
        <w:footnoteReference w:id="2"/>
      </w:r>
      <w:bookmarkEnd w:id="6"/>
    </w:p>
    <w:p w14:paraId="7CC7762E" w14:textId="067E7454" w:rsidR="00F84165" w:rsidRPr="00575CC5" w:rsidRDefault="00DA42ED" w:rsidP="00F8416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Combating money laundering is essential for addressing the threats posed by organised crime networks, including their infiltration of the legal economy and the risks they create for </w:t>
      </w:r>
      <w:r w:rsidR="00AF4BC6">
        <w:rPr>
          <w:rFonts w:ascii="Times New Roman" w:hAnsi="Times New Roman" w:cs="Times New Roman"/>
          <w:noProof/>
          <w:sz w:val="24"/>
          <w:szCs w:val="24"/>
          <w:lang w:val="en-IE"/>
        </w:rPr>
        <w:t>public</w:t>
      </w:r>
      <w:r w:rsidR="00AF4BC6"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security. </w:t>
      </w:r>
      <w:r w:rsidR="00F84165" w:rsidRPr="00575CC5">
        <w:rPr>
          <w:rFonts w:ascii="Times New Roman" w:hAnsi="Times New Roman" w:cs="Times New Roman"/>
          <w:noProof/>
          <w:sz w:val="24"/>
          <w:szCs w:val="24"/>
          <w:lang w:val="en-IE"/>
        </w:rPr>
        <w:t xml:space="preserve">Directive (EU) 2018/1673 on combating money laundering through criminal law </w:t>
      </w:r>
      <w:r w:rsidR="009732C2" w:rsidRPr="00A908E5">
        <w:rPr>
          <w:rFonts w:ascii="Times New Roman" w:hAnsi="Times New Roman" w:cs="Times New Roman"/>
          <w:noProof/>
          <w:sz w:val="24"/>
          <w:szCs w:val="24"/>
        </w:rPr>
        <w:t>(</w:t>
      </w:r>
      <w:r w:rsidR="009732C2">
        <w:rPr>
          <w:rFonts w:ascii="Times New Roman" w:hAnsi="Times New Roman" w:cs="Times New Roman"/>
          <w:noProof/>
          <w:sz w:val="24"/>
          <w:szCs w:val="24"/>
        </w:rPr>
        <w:t>‘</w:t>
      </w:r>
      <w:r w:rsidR="009732C2" w:rsidRPr="00A908E5">
        <w:rPr>
          <w:rFonts w:ascii="Times New Roman" w:hAnsi="Times New Roman" w:cs="Times New Roman"/>
          <w:noProof/>
          <w:sz w:val="24"/>
          <w:szCs w:val="24"/>
        </w:rPr>
        <w:t>the CMLD</w:t>
      </w:r>
      <w:r w:rsidR="009732C2">
        <w:rPr>
          <w:rFonts w:ascii="Times New Roman" w:hAnsi="Times New Roman" w:cs="Times New Roman"/>
          <w:noProof/>
          <w:sz w:val="24"/>
          <w:szCs w:val="24"/>
        </w:rPr>
        <w:t>’</w:t>
      </w:r>
      <w:r w:rsidR="009732C2" w:rsidRPr="00A908E5">
        <w:rPr>
          <w:rFonts w:ascii="Times New Roman" w:hAnsi="Times New Roman" w:cs="Times New Roman"/>
          <w:noProof/>
          <w:sz w:val="24"/>
          <w:szCs w:val="24"/>
        </w:rPr>
        <w:t xml:space="preserve"> or </w:t>
      </w:r>
      <w:r w:rsidR="009732C2">
        <w:rPr>
          <w:rFonts w:ascii="Times New Roman" w:hAnsi="Times New Roman" w:cs="Times New Roman"/>
          <w:noProof/>
          <w:sz w:val="24"/>
          <w:szCs w:val="24"/>
        </w:rPr>
        <w:t>‘</w:t>
      </w:r>
      <w:r w:rsidR="009732C2" w:rsidRPr="00A908E5">
        <w:rPr>
          <w:rFonts w:ascii="Times New Roman" w:hAnsi="Times New Roman" w:cs="Times New Roman"/>
          <w:noProof/>
          <w:sz w:val="24"/>
          <w:szCs w:val="24"/>
        </w:rPr>
        <w:t>the Directive</w:t>
      </w:r>
      <w:r w:rsidR="009732C2">
        <w:rPr>
          <w:rFonts w:ascii="Times New Roman" w:hAnsi="Times New Roman" w:cs="Times New Roman"/>
          <w:noProof/>
          <w:sz w:val="24"/>
          <w:szCs w:val="24"/>
        </w:rPr>
        <w:t>’</w:t>
      </w:r>
      <w:r w:rsidR="009732C2" w:rsidRPr="00A908E5">
        <w:rPr>
          <w:rFonts w:ascii="Times New Roman" w:hAnsi="Times New Roman" w:cs="Times New Roman"/>
          <w:noProof/>
          <w:sz w:val="24"/>
          <w:szCs w:val="24"/>
        </w:rPr>
        <w:t xml:space="preserve">) </w:t>
      </w:r>
      <w:r w:rsidR="00F84165" w:rsidRPr="00575CC5">
        <w:rPr>
          <w:rFonts w:ascii="Times New Roman" w:hAnsi="Times New Roman" w:cs="Times New Roman"/>
          <w:noProof/>
          <w:sz w:val="24"/>
          <w:szCs w:val="24"/>
          <w:lang w:val="en-IE"/>
        </w:rPr>
        <w:t>was adopted by the European Parliament and the Council on 23 October 2018</w:t>
      </w:r>
      <w:r w:rsidR="00F84165" w:rsidRPr="00575CC5">
        <w:rPr>
          <w:rStyle w:val="FootnoteReference"/>
          <w:rFonts w:ascii="Times New Roman" w:hAnsi="Times New Roman" w:cs="Times New Roman"/>
          <w:noProof/>
          <w:szCs w:val="24"/>
          <w:lang w:val="en-IE"/>
        </w:rPr>
        <w:footnoteReference w:id="3"/>
      </w:r>
      <w:r w:rsidR="00F84165" w:rsidRPr="00575CC5">
        <w:rPr>
          <w:rFonts w:ascii="Times New Roman" w:hAnsi="Times New Roman" w:cs="Times New Roman"/>
          <w:noProof/>
          <w:sz w:val="24"/>
          <w:szCs w:val="24"/>
          <w:lang w:val="en-IE"/>
        </w:rPr>
        <w:t>. The Directive strengthens law enforcement and judicial responses to money laundering, fosters cross-border cooperation both within the EU and internationally, and complements the legislative framework on the prevention of money laundering.</w:t>
      </w:r>
      <w:r w:rsidR="00FD40E7" w:rsidRPr="00575CC5">
        <w:rPr>
          <w:rFonts w:ascii="Times New Roman" w:hAnsi="Times New Roman" w:cs="Times New Roman"/>
          <w:noProof/>
          <w:sz w:val="24"/>
          <w:szCs w:val="24"/>
          <w:lang w:val="en-IE"/>
        </w:rPr>
        <w:t xml:space="preserve"> </w:t>
      </w:r>
    </w:p>
    <w:p w14:paraId="304442B5" w14:textId="5AC17FA4" w:rsidR="00237047" w:rsidRPr="00575CC5" w:rsidRDefault="00F84165" w:rsidP="00F8416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The Directive establishes minimum rules on the definition of criminal offences in the field of money laundering</w:t>
      </w:r>
      <w:r w:rsidR="00323089" w:rsidRPr="00575CC5">
        <w:rPr>
          <w:rFonts w:ascii="Times New Roman" w:hAnsi="Times New Roman" w:cs="Times New Roman"/>
          <w:noProof/>
          <w:sz w:val="24"/>
          <w:szCs w:val="24"/>
          <w:lang w:val="en-IE"/>
        </w:rPr>
        <w:t xml:space="preserve"> and ensures that illicit proceeds from a broad range of criminal activities can be effectively addressed by </w:t>
      </w:r>
      <w:r w:rsidRPr="00575CC5">
        <w:rPr>
          <w:rFonts w:ascii="Times New Roman" w:hAnsi="Times New Roman" w:cs="Times New Roman"/>
          <w:noProof/>
          <w:sz w:val="24"/>
          <w:szCs w:val="24"/>
          <w:lang w:val="en-IE"/>
        </w:rPr>
        <w:t>specif</w:t>
      </w:r>
      <w:r w:rsidR="00323089" w:rsidRPr="00575CC5">
        <w:rPr>
          <w:rFonts w:ascii="Times New Roman" w:hAnsi="Times New Roman" w:cs="Times New Roman"/>
          <w:noProof/>
          <w:sz w:val="24"/>
          <w:szCs w:val="24"/>
          <w:lang w:val="en-IE"/>
        </w:rPr>
        <w:t>ying</w:t>
      </w:r>
      <w:r w:rsidRPr="00575CC5">
        <w:rPr>
          <w:rFonts w:ascii="Times New Roman" w:hAnsi="Times New Roman" w:cs="Times New Roman"/>
          <w:noProof/>
          <w:sz w:val="24"/>
          <w:szCs w:val="24"/>
          <w:lang w:val="en-IE"/>
        </w:rPr>
        <w:t xml:space="preserve"> the criminal activities that constitute </w:t>
      </w:r>
      <w:r w:rsidR="00126332">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predicate offences</w:t>
      </w:r>
      <w:r w:rsidR="00126332">
        <w:rPr>
          <w:rFonts w:ascii="Times New Roman" w:hAnsi="Times New Roman" w:cs="Times New Roman"/>
          <w:noProof/>
          <w:sz w:val="24"/>
          <w:szCs w:val="24"/>
          <w:lang w:val="en-IE"/>
        </w:rPr>
        <w:t>’</w:t>
      </w:r>
      <w:r w:rsidR="00126332"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for money laundering,</w:t>
      </w:r>
      <w:r w:rsidR="00237047" w:rsidRPr="00575CC5">
        <w:rPr>
          <w:rFonts w:ascii="Times New Roman" w:hAnsi="Times New Roman" w:cs="Times New Roman"/>
          <w:noProof/>
          <w:sz w:val="24"/>
          <w:szCs w:val="24"/>
          <w:lang w:val="en-IE"/>
        </w:rPr>
        <w:t xml:space="preserve"> i.e. the criminal acts from which the laundered property originated. </w:t>
      </w:r>
    </w:p>
    <w:p w14:paraId="2993E169" w14:textId="23DF3CA2" w:rsidR="00F84165" w:rsidRPr="00575CC5" w:rsidRDefault="00F84165" w:rsidP="00F8416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Furthermore, it lays down provisions on penalties and sanctions applicable to both natural and legal persons, as well as rules on freezing and confiscation, jurisdiction</w:t>
      </w:r>
      <w:r w:rsidR="00881A30" w:rsidRPr="00575CC5">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w:t>
      </w:r>
      <w:r w:rsidR="00201EA6" w:rsidRPr="00575CC5">
        <w:rPr>
          <w:rFonts w:ascii="Times New Roman" w:hAnsi="Times New Roman" w:cs="Times New Roman"/>
          <w:noProof/>
          <w:sz w:val="24"/>
          <w:szCs w:val="24"/>
          <w:lang w:val="en-IE"/>
        </w:rPr>
        <w:t xml:space="preserve">and </w:t>
      </w:r>
      <w:r w:rsidRPr="00575CC5">
        <w:rPr>
          <w:rFonts w:ascii="Times New Roman" w:hAnsi="Times New Roman" w:cs="Times New Roman"/>
          <w:noProof/>
          <w:sz w:val="24"/>
          <w:szCs w:val="24"/>
          <w:lang w:val="en-IE"/>
        </w:rPr>
        <w:t>the use of certain investigative tools</w:t>
      </w:r>
      <w:r w:rsidR="00881A30" w:rsidRPr="00575CC5">
        <w:rPr>
          <w:rFonts w:ascii="Times New Roman" w:hAnsi="Times New Roman" w:cs="Times New Roman"/>
          <w:noProof/>
          <w:sz w:val="24"/>
          <w:szCs w:val="24"/>
          <w:lang w:val="en-IE"/>
        </w:rPr>
        <w:t xml:space="preserve"> against money laundering</w:t>
      </w:r>
      <w:r w:rsidRPr="00575CC5">
        <w:rPr>
          <w:rFonts w:ascii="Times New Roman" w:hAnsi="Times New Roman" w:cs="Times New Roman"/>
          <w:noProof/>
          <w:sz w:val="24"/>
          <w:szCs w:val="24"/>
          <w:lang w:val="en-IE"/>
        </w:rPr>
        <w:t>.</w:t>
      </w:r>
    </w:p>
    <w:p w14:paraId="293B5469" w14:textId="4C4A8BD9" w:rsidR="00F84165" w:rsidRPr="00575CC5" w:rsidRDefault="00F84165" w:rsidP="00F8416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The deadline for transposition was 3 December 2020. The Directive applies in 25</w:t>
      </w:r>
      <w:r w:rsidR="00DC1DD4">
        <w:rPr>
          <w:rFonts w:ascii="Times New Roman" w:hAnsi="Times New Roman" w:cs="Times New Roman"/>
          <w:noProof/>
          <w:sz w:val="24"/>
          <w:szCs w:val="24"/>
          <w:lang w:val="en-IE"/>
        </w:rPr>
        <w:t xml:space="preserve"> M</w:t>
      </w:r>
      <w:r w:rsidRPr="00575CC5">
        <w:rPr>
          <w:rFonts w:ascii="Times New Roman" w:hAnsi="Times New Roman" w:cs="Times New Roman"/>
          <w:noProof/>
          <w:sz w:val="24"/>
          <w:szCs w:val="24"/>
          <w:lang w:val="en-IE"/>
        </w:rPr>
        <w:t>ember States; Ireland and Denmark are not bound by it.</w:t>
      </w:r>
    </w:p>
    <w:p w14:paraId="36416BD6" w14:textId="3B141C40" w:rsidR="00F84165" w:rsidRPr="00575CC5" w:rsidRDefault="00F84165" w:rsidP="00BB3734">
      <w:pPr>
        <w:pStyle w:val="Heading2"/>
        <w:numPr>
          <w:ilvl w:val="1"/>
          <w:numId w:val="18"/>
        </w:numPr>
        <w:ind w:left="720"/>
        <w:rPr>
          <w:noProof/>
          <w:szCs w:val="24"/>
        </w:rPr>
      </w:pPr>
      <w:bookmarkStart w:id="7" w:name="_Toc223439244"/>
      <w:r w:rsidRPr="00575CC5">
        <w:rPr>
          <w:noProof/>
          <w:szCs w:val="24"/>
        </w:rPr>
        <w:t>Purpose and scope of the evaluation</w:t>
      </w:r>
      <w:bookmarkEnd w:id="7"/>
    </w:p>
    <w:p w14:paraId="77322CCB" w14:textId="62E3D26E" w:rsidR="00870EAE" w:rsidRPr="00575CC5" w:rsidRDefault="00870EAE" w:rsidP="00F84165">
      <w:pPr>
        <w:spacing w:before="240"/>
        <w:jc w:val="both"/>
        <w:rPr>
          <w:rFonts w:ascii="Times New Roman" w:hAnsi="Times New Roman" w:cs="Times New Roman"/>
          <w:noProof/>
          <w:sz w:val="24"/>
          <w:szCs w:val="24"/>
          <w:lang w:val="en-IE"/>
        </w:rPr>
      </w:pPr>
      <w:bookmarkStart w:id="8" w:name="_Hlk188527867"/>
      <w:r w:rsidRPr="00575CC5">
        <w:rPr>
          <w:rFonts w:ascii="Times New Roman" w:hAnsi="Times New Roman" w:cs="Times New Roman"/>
          <w:noProof/>
          <w:sz w:val="24"/>
          <w:szCs w:val="24"/>
          <w:lang w:val="en-IE"/>
        </w:rPr>
        <w:t xml:space="preserve">Article 14(2) of the Directive requires the European Commission to submit a report to the European Parliament and the Council to assess </w:t>
      </w:r>
      <w:r w:rsidR="00DC1DD4">
        <w:rPr>
          <w:rFonts w:ascii="Times New Roman" w:hAnsi="Times New Roman" w:cs="Times New Roman"/>
          <w:noProof/>
          <w:sz w:val="24"/>
          <w:szCs w:val="24"/>
          <w:lang w:val="en-IE"/>
        </w:rPr>
        <w:t>the Directive’s</w:t>
      </w:r>
      <w:r w:rsidR="00DC1DD4"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added value</w:t>
      </w:r>
      <w:r w:rsidR="00D16CF1">
        <w:rPr>
          <w:rFonts w:ascii="Times New Roman" w:hAnsi="Times New Roman" w:cs="Times New Roman"/>
          <w:noProof/>
          <w:sz w:val="24"/>
          <w:szCs w:val="24"/>
          <w:lang w:val="en-IE"/>
        </w:rPr>
        <w:t xml:space="preserve"> and </w:t>
      </w:r>
      <w:r w:rsidR="00D16CF1" w:rsidRPr="00D16CF1">
        <w:rPr>
          <w:rFonts w:ascii="Times New Roman" w:hAnsi="Times New Roman" w:cs="Times New Roman"/>
          <w:noProof/>
          <w:sz w:val="24"/>
          <w:szCs w:val="24"/>
        </w:rPr>
        <w:t>its impact on fundamental rights and freedoms</w:t>
      </w:r>
      <w:r w:rsidRPr="00575CC5">
        <w:rPr>
          <w:rFonts w:ascii="Times New Roman" w:hAnsi="Times New Roman" w:cs="Times New Roman"/>
          <w:noProof/>
          <w:sz w:val="24"/>
          <w:szCs w:val="24"/>
          <w:lang w:val="en-IE"/>
        </w:rPr>
        <w:t>.</w:t>
      </w:r>
    </w:p>
    <w:p w14:paraId="35700088" w14:textId="57778952" w:rsidR="00F84165" w:rsidRPr="00575CC5" w:rsidRDefault="00C94D98" w:rsidP="00F84165">
      <w:pPr>
        <w:spacing w:before="240"/>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This evaluation presents evidence on the legislative and practical implementation of the Directive and its effects on fundamental rights. This includes a description of the implementation process (see </w:t>
      </w:r>
      <w:r w:rsidR="008320A8">
        <w:rPr>
          <w:rFonts w:ascii="Times New Roman" w:hAnsi="Times New Roman" w:cs="Times New Roman"/>
          <w:noProof/>
          <w:sz w:val="24"/>
          <w:szCs w:val="24"/>
          <w:lang w:val="en-IE"/>
        </w:rPr>
        <w:t>C</w:t>
      </w:r>
      <w:r w:rsidRPr="00575CC5">
        <w:rPr>
          <w:rFonts w:ascii="Times New Roman" w:hAnsi="Times New Roman" w:cs="Times New Roman"/>
          <w:noProof/>
          <w:sz w:val="24"/>
          <w:szCs w:val="24"/>
          <w:lang w:val="en-IE"/>
        </w:rPr>
        <w:t xml:space="preserve">hapter 3) as well as an analysis in terms of effectiveness, efficiency, relevance, coherence and EU-added value in line with the rules for Better </w:t>
      </w:r>
      <w:r w:rsidR="008320A8">
        <w:rPr>
          <w:rFonts w:ascii="Times New Roman" w:hAnsi="Times New Roman" w:cs="Times New Roman"/>
          <w:noProof/>
          <w:sz w:val="24"/>
          <w:szCs w:val="24"/>
          <w:lang w:val="en-IE"/>
        </w:rPr>
        <w:t>r</w:t>
      </w:r>
      <w:r w:rsidR="008320A8" w:rsidRPr="00575CC5">
        <w:rPr>
          <w:rFonts w:ascii="Times New Roman" w:hAnsi="Times New Roman" w:cs="Times New Roman"/>
          <w:noProof/>
          <w:sz w:val="24"/>
          <w:szCs w:val="24"/>
          <w:lang w:val="en-IE"/>
        </w:rPr>
        <w:t>egulation</w:t>
      </w:r>
      <w:r w:rsidRPr="00575CC5">
        <w:rPr>
          <w:rFonts w:ascii="Times New Roman" w:hAnsi="Times New Roman" w:cs="Times New Roman"/>
          <w:noProof/>
          <w:sz w:val="24"/>
          <w:szCs w:val="24"/>
          <w:vertAlign w:val="superscript"/>
        </w:rPr>
        <w:footnoteReference w:id="4"/>
      </w:r>
      <w:r w:rsidRPr="00575CC5">
        <w:rPr>
          <w:rFonts w:ascii="Times New Roman" w:hAnsi="Times New Roman" w:cs="Times New Roman"/>
          <w:noProof/>
          <w:sz w:val="24"/>
          <w:szCs w:val="24"/>
          <w:lang w:val="en-IE"/>
        </w:rPr>
        <w:t xml:space="preserve">. In this context, this evaluation draws a number of conclusions and makes concrete recommendations for future action.  </w:t>
      </w:r>
      <w:r w:rsidR="00F84165" w:rsidRPr="00575CC5">
        <w:rPr>
          <w:rFonts w:ascii="Times New Roman" w:hAnsi="Times New Roman" w:cs="Times New Roman"/>
          <w:noProof/>
          <w:sz w:val="24"/>
          <w:szCs w:val="24"/>
          <w:lang w:val="en-IE"/>
        </w:rPr>
        <w:t xml:space="preserve">  </w:t>
      </w:r>
    </w:p>
    <w:bookmarkEnd w:id="8"/>
    <w:p w14:paraId="24D1304F" w14:textId="4B8623F2" w:rsidR="00F84165" w:rsidRPr="00575CC5" w:rsidRDefault="00E96EA4" w:rsidP="00F84165">
      <w:pPr>
        <w:jc w:val="both"/>
        <w:rPr>
          <w:rFonts w:ascii="Times New Roman" w:eastAsia="Verdana" w:hAnsi="Times New Roman" w:cs="Times New Roman"/>
          <w:noProof/>
          <w:sz w:val="24"/>
          <w:szCs w:val="28"/>
          <w:lang w:val="en-IE"/>
        </w:rPr>
      </w:pPr>
      <w:r w:rsidRPr="00575CC5">
        <w:rPr>
          <w:rFonts w:ascii="Times New Roman" w:eastAsia="Verdana" w:hAnsi="Times New Roman" w:cs="Times New Roman"/>
          <w:noProof/>
          <w:sz w:val="24"/>
          <w:szCs w:val="28"/>
          <w:lang w:val="en-IE"/>
        </w:rPr>
        <w:t>The temporal scope of this report covers the period from 2018 to 2025 and all Member States bound by the Directive, that is all except Ireland and Denmark, which have opted out of its adoption.</w:t>
      </w:r>
    </w:p>
    <w:p w14:paraId="03148172" w14:textId="05BD5B50" w:rsidR="00F84165" w:rsidRPr="00575CC5" w:rsidRDefault="00F84165" w:rsidP="00BB3734">
      <w:pPr>
        <w:pStyle w:val="Heading2"/>
        <w:numPr>
          <w:ilvl w:val="1"/>
          <w:numId w:val="18"/>
        </w:numPr>
        <w:rPr>
          <w:noProof/>
          <w:szCs w:val="24"/>
        </w:rPr>
      </w:pPr>
      <w:bookmarkStart w:id="9" w:name="_Toc223439245"/>
      <w:r w:rsidRPr="00575CC5">
        <w:rPr>
          <w:noProof/>
          <w:szCs w:val="24"/>
        </w:rPr>
        <w:t xml:space="preserve">Methodology of the </w:t>
      </w:r>
      <w:r w:rsidR="00E96EA4" w:rsidRPr="00575CC5">
        <w:rPr>
          <w:noProof/>
          <w:szCs w:val="24"/>
        </w:rPr>
        <w:t>evaluation</w:t>
      </w:r>
      <w:bookmarkEnd w:id="9"/>
    </w:p>
    <w:p w14:paraId="4A77C145" w14:textId="31320729" w:rsidR="00A6344A" w:rsidRPr="00575CC5" w:rsidRDefault="00A6344A" w:rsidP="00F8416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In support of the evaluation, an external study</w:t>
      </w:r>
      <w:r w:rsidR="00EF4717">
        <w:rPr>
          <w:rStyle w:val="FootnoteReference"/>
          <w:rFonts w:ascii="Times New Roman" w:hAnsi="Times New Roman" w:cs="Times New Roman"/>
          <w:noProof/>
          <w:szCs w:val="24"/>
          <w:lang w:val="en-IE"/>
        </w:rPr>
        <w:footnoteReference w:id="5"/>
      </w:r>
      <w:r w:rsidRPr="00575CC5">
        <w:rPr>
          <w:rFonts w:ascii="Times New Roman" w:hAnsi="Times New Roman" w:cs="Times New Roman"/>
          <w:noProof/>
          <w:sz w:val="24"/>
          <w:szCs w:val="24"/>
          <w:lang w:val="en-IE"/>
        </w:rPr>
        <w:t xml:space="preserve"> was carried out, guided by the Better Regulation Guidelines. The study assessed the Directive against the five evaluation criteria (effectiveness, efficiency, relevance, coherence, and EU added value) as well as its impact on fundamental rights in the context of criminal proceedings. The study applied the intervention logic and an evaluation matrix (see Annex II) to structure data collection, guide analysis, and support conclusions and recommendations.</w:t>
      </w:r>
    </w:p>
    <w:p w14:paraId="1276B2F7" w14:textId="3281A610" w:rsidR="000C5BEE" w:rsidRPr="009A39FA" w:rsidRDefault="000C5BEE" w:rsidP="00F8416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Evidence was collected through six complementary activities </w:t>
      </w:r>
      <w:r w:rsidR="008320A8">
        <w:rPr>
          <w:rFonts w:ascii="Times New Roman" w:hAnsi="Times New Roman" w:cs="Times New Roman"/>
          <w:noProof/>
          <w:sz w:val="24"/>
          <w:szCs w:val="24"/>
          <w:lang w:val="en-IE"/>
        </w:rPr>
        <w:t>carried out under the</w:t>
      </w:r>
      <w:r w:rsidRPr="00575CC5">
        <w:rPr>
          <w:rFonts w:ascii="Times New Roman" w:hAnsi="Times New Roman" w:cs="Times New Roman"/>
          <w:noProof/>
          <w:sz w:val="24"/>
          <w:szCs w:val="24"/>
          <w:lang w:val="en-IE"/>
        </w:rPr>
        <w:t xml:space="preserve"> close supervision of DG Migration and Home Affairs: desk research, interviews, targeted consultations (surveys and interviews), statistical data collection, </w:t>
      </w:r>
      <w:r w:rsidRPr="009A39FA">
        <w:rPr>
          <w:rFonts w:ascii="Times New Roman" w:hAnsi="Times New Roman" w:cs="Times New Roman"/>
          <w:noProof/>
          <w:sz w:val="24"/>
          <w:szCs w:val="24"/>
          <w:lang w:val="en-IE"/>
        </w:rPr>
        <w:t>case studies</w:t>
      </w:r>
      <w:r w:rsidR="008320A8">
        <w:rPr>
          <w:rFonts w:ascii="Times New Roman" w:hAnsi="Times New Roman" w:cs="Times New Roman"/>
          <w:noProof/>
          <w:sz w:val="24"/>
          <w:szCs w:val="24"/>
          <w:lang w:val="en-IE"/>
        </w:rPr>
        <w:t xml:space="preserve"> </w:t>
      </w:r>
      <w:r w:rsidRPr="009A39FA">
        <w:rPr>
          <w:rFonts w:ascii="Times New Roman" w:hAnsi="Times New Roman" w:cs="Times New Roman"/>
          <w:noProof/>
          <w:sz w:val="24"/>
          <w:szCs w:val="24"/>
          <w:lang w:val="en-IE"/>
        </w:rPr>
        <w:t xml:space="preserve">and expert workshops. </w:t>
      </w:r>
    </w:p>
    <w:p w14:paraId="75C0897F" w14:textId="77777777" w:rsidR="00821E21" w:rsidRPr="009A39FA" w:rsidRDefault="00821E21" w:rsidP="00821E21">
      <w:pPr>
        <w:jc w:val="both"/>
        <w:rPr>
          <w:rFonts w:ascii="Times New Roman" w:hAnsi="Times New Roman" w:cs="Times New Roman"/>
          <w:noProof/>
          <w:sz w:val="24"/>
          <w:szCs w:val="24"/>
          <w:lang w:val="en-IE"/>
        </w:rPr>
      </w:pPr>
      <w:r w:rsidRPr="009A39FA">
        <w:rPr>
          <w:rFonts w:ascii="Times New Roman" w:hAnsi="Times New Roman" w:cs="Times New Roman"/>
          <w:noProof/>
          <w:sz w:val="24"/>
          <w:szCs w:val="24"/>
          <w:lang w:val="en-IE"/>
        </w:rPr>
        <w:t xml:space="preserve">The study placed particular emphasis on stakeholder perspectives. Extensive surveys and interviews were conducted between late 2023 and early 2024, allowing for insights into the Directive’s implementation. </w:t>
      </w:r>
    </w:p>
    <w:p w14:paraId="10A1E00B" w14:textId="53044BE6" w:rsidR="00F84165" w:rsidRPr="00575CC5" w:rsidRDefault="006122CA" w:rsidP="00CE78F0">
      <w:pPr>
        <w:jc w:val="both"/>
        <w:rPr>
          <w:rFonts w:ascii="Times New Roman" w:hAnsi="Times New Roman" w:cs="Times New Roman"/>
          <w:noProof/>
          <w:sz w:val="24"/>
          <w:szCs w:val="24"/>
          <w:lang w:val="en-IE"/>
        </w:rPr>
      </w:pPr>
      <w:r w:rsidRPr="009A39FA">
        <w:rPr>
          <w:rFonts w:ascii="Times New Roman" w:hAnsi="Times New Roman" w:cs="Times New Roman"/>
          <w:noProof/>
          <w:sz w:val="24"/>
          <w:szCs w:val="24"/>
          <w:lang w:val="en-IE"/>
        </w:rPr>
        <w:t xml:space="preserve">The external study also produced </w:t>
      </w:r>
      <w:r w:rsidR="00B177E0" w:rsidRPr="009A39FA">
        <w:rPr>
          <w:rFonts w:ascii="Times New Roman" w:hAnsi="Times New Roman" w:cs="Times New Roman"/>
          <w:noProof/>
          <w:sz w:val="24"/>
          <w:szCs w:val="24"/>
          <w:lang w:val="en-IE"/>
        </w:rPr>
        <w:t xml:space="preserve">a total of </w:t>
      </w:r>
      <w:r w:rsidRPr="009A39FA">
        <w:rPr>
          <w:rFonts w:ascii="Times New Roman" w:hAnsi="Times New Roman" w:cs="Times New Roman"/>
          <w:noProof/>
          <w:sz w:val="24"/>
          <w:szCs w:val="24"/>
          <w:lang w:val="en-IE"/>
        </w:rPr>
        <w:t>three case studies</w:t>
      </w:r>
      <w:r w:rsidR="008320A8">
        <w:rPr>
          <w:rFonts w:ascii="Times New Roman" w:hAnsi="Times New Roman" w:cs="Times New Roman"/>
          <w:noProof/>
          <w:sz w:val="24"/>
          <w:szCs w:val="24"/>
          <w:lang w:val="en-IE"/>
        </w:rPr>
        <w:t xml:space="preserve"> (i) </w:t>
      </w:r>
      <w:r w:rsidRPr="00575CC5">
        <w:rPr>
          <w:rFonts w:ascii="Times New Roman" w:hAnsi="Times New Roman" w:cs="Times New Roman"/>
          <w:noProof/>
          <w:sz w:val="24"/>
          <w:szCs w:val="24"/>
          <w:lang w:val="en-IE"/>
        </w:rPr>
        <w:t>on crypto-asset financial investigations</w:t>
      </w:r>
      <w:r w:rsidR="008320A8">
        <w:rPr>
          <w:rFonts w:ascii="Times New Roman" w:hAnsi="Times New Roman" w:cs="Times New Roman"/>
          <w:noProof/>
          <w:sz w:val="24"/>
          <w:szCs w:val="24"/>
          <w:lang w:val="en-IE"/>
        </w:rPr>
        <w:t>;</w:t>
      </w:r>
      <w:r w:rsidR="008320A8" w:rsidRPr="00575CC5">
        <w:rPr>
          <w:rFonts w:ascii="Times New Roman" w:hAnsi="Times New Roman" w:cs="Times New Roman"/>
          <w:noProof/>
          <w:sz w:val="24"/>
          <w:szCs w:val="24"/>
          <w:lang w:val="en-IE"/>
        </w:rPr>
        <w:t xml:space="preserve"> </w:t>
      </w:r>
      <w:r w:rsidR="008320A8">
        <w:rPr>
          <w:rFonts w:ascii="Times New Roman" w:hAnsi="Times New Roman" w:cs="Times New Roman"/>
          <w:noProof/>
          <w:sz w:val="24"/>
          <w:szCs w:val="24"/>
          <w:lang w:val="en-IE"/>
        </w:rPr>
        <w:t xml:space="preserve">(ii) </w:t>
      </w:r>
      <w:r w:rsidRPr="00575CC5">
        <w:rPr>
          <w:rFonts w:ascii="Times New Roman" w:hAnsi="Times New Roman" w:cs="Times New Roman"/>
          <w:noProof/>
          <w:sz w:val="24"/>
          <w:szCs w:val="24"/>
          <w:lang w:val="en-IE"/>
        </w:rPr>
        <w:t>on the stand-alone money</w:t>
      </w:r>
      <w:r w:rsidR="008320A8">
        <w:rPr>
          <w:rFonts w:ascii="Times New Roman" w:hAnsi="Times New Roman" w:cs="Times New Roman"/>
          <w:noProof/>
          <w:sz w:val="24"/>
          <w:szCs w:val="24"/>
          <w:lang w:val="en-IE"/>
        </w:rPr>
        <w:t>-</w:t>
      </w:r>
      <w:r w:rsidR="008320A8" w:rsidRPr="00575CC5">
        <w:rPr>
          <w:rFonts w:ascii="Times New Roman" w:hAnsi="Times New Roman" w:cs="Times New Roman"/>
          <w:noProof/>
          <w:sz w:val="24"/>
          <w:szCs w:val="24"/>
          <w:lang w:val="en-IE"/>
        </w:rPr>
        <w:t>laundering</w:t>
      </w:r>
      <w:r w:rsidR="008320A8">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offence and </w:t>
      </w:r>
      <w:r w:rsidR="008320A8">
        <w:rPr>
          <w:rFonts w:ascii="Times New Roman" w:hAnsi="Times New Roman" w:cs="Times New Roman"/>
          <w:noProof/>
          <w:sz w:val="24"/>
          <w:szCs w:val="24"/>
          <w:lang w:val="en-IE"/>
        </w:rPr>
        <w:t xml:space="preserve">(iii) </w:t>
      </w:r>
      <w:r w:rsidRPr="00575CC5">
        <w:rPr>
          <w:rFonts w:ascii="Times New Roman" w:hAnsi="Times New Roman" w:cs="Times New Roman"/>
          <w:noProof/>
          <w:sz w:val="24"/>
          <w:szCs w:val="24"/>
          <w:lang w:val="en-IE"/>
        </w:rPr>
        <w:t>on information exchange and cooperation between a Member State and a third country</w:t>
      </w:r>
      <w:r w:rsidR="008320A8">
        <w:rPr>
          <w:rFonts w:ascii="Times New Roman" w:hAnsi="Times New Roman" w:cs="Times New Roman"/>
          <w:noProof/>
          <w:sz w:val="24"/>
          <w:szCs w:val="24"/>
          <w:lang w:val="en-IE"/>
        </w:rPr>
        <w:t>. The purpose of these case studies was</w:t>
      </w:r>
      <w:r w:rsidR="00CE78F0">
        <w:rPr>
          <w:rFonts w:ascii="Times New Roman" w:hAnsi="Times New Roman" w:cs="Times New Roman"/>
          <w:noProof/>
          <w:sz w:val="24"/>
          <w:szCs w:val="24"/>
          <w:lang w:val="en-IE"/>
        </w:rPr>
        <w:t xml:space="preserve"> </w:t>
      </w:r>
      <w:r w:rsidR="00F84165" w:rsidRPr="00575CC5">
        <w:rPr>
          <w:rFonts w:ascii="Times New Roman" w:hAnsi="Times New Roman" w:cs="Times New Roman"/>
          <w:noProof/>
          <w:sz w:val="24"/>
          <w:szCs w:val="24"/>
          <w:lang w:val="en-IE"/>
        </w:rPr>
        <w:t>to obtain a deeper view</w:t>
      </w:r>
      <w:r w:rsidR="002214D0">
        <w:rPr>
          <w:rFonts w:ascii="Times New Roman" w:hAnsi="Times New Roman" w:cs="Times New Roman"/>
          <w:noProof/>
          <w:sz w:val="24"/>
          <w:szCs w:val="24"/>
          <w:lang w:val="en-IE"/>
        </w:rPr>
        <w:t xml:space="preserve"> on</w:t>
      </w:r>
      <w:r w:rsidR="00F84165" w:rsidRPr="00575CC5">
        <w:rPr>
          <w:rFonts w:ascii="Times New Roman" w:hAnsi="Times New Roman" w:cs="Times New Roman"/>
          <w:noProof/>
          <w:sz w:val="24"/>
          <w:szCs w:val="24"/>
          <w:lang w:val="en-IE"/>
        </w:rPr>
        <w:t xml:space="preserve"> </w:t>
      </w:r>
      <w:r w:rsidR="00CE78F0">
        <w:rPr>
          <w:rFonts w:ascii="Times New Roman" w:hAnsi="Times New Roman" w:cs="Times New Roman"/>
          <w:noProof/>
          <w:sz w:val="24"/>
          <w:szCs w:val="24"/>
          <w:lang w:val="en-IE"/>
        </w:rPr>
        <w:t>the</w:t>
      </w:r>
      <w:r w:rsidR="00F84165" w:rsidRPr="00575CC5">
        <w:rPr>
          <w:rFonts w:ascii="Times New Roman" w:hAnsi="Times New Roman" w:cs="Times New Roman"/>
          <w:noProof/>
          <w:sz w:val="24"/>
          <w:szCs w:val="24"/>
          <w:lang w:val="en-IE"/>
        </w:rPr>
        <w:t xml:space="preserve"> </w:t>
      </w:r>
      <w:r w:rsidR="0E28DC8F" w:rsidRPr="00575CC5">
        <w:rPr>
          <w:rFonts w:ascii="Times New Roman" w:hAnsi="Times New Roman" w:cs="Times New Roman"/>
          <w:noProof/>
          <w:sz w:val="24"/>
          <w:szCs w:val="24"/>
          <w:lang w:val="en-IE"/>
        </w:rPr>
        <w:t>practical</w:t>
      </w:r>
      <w:r w:rsidR="00F84165" w:rsidRPr="00575CC5">
        <w:rPr>
          <w:rFonts w:ascii="Times New Roman" w:hAnsi="Times New Roman" w:cs="Times New Roman"/>
          <w:noProof/>
          <w:sz w:val="24"/>
          <w:szCs w:val="24"/>
          <w:lang w:val="en-IE"/>
        </w:rPr>
        <w:t xml:space="preserve"> </w:t>
      </w:r>
      <w:r w:rsidR="0E28DC8F" w:rsidRPr="00575CC5">
        <w:rPr>
          <w:rFonts w:ascii="Times New Roman" w:hAnsi="Times New Roman" w:cs="Times New Roman"/>
          <w:noProof/>
          <w:sz w:val="24"/>
          <w:szCs w:val="24"/>
          <w:lang w:val="en-IE"/>
        </w:rPr>
        <w:t>impact of the Directive</w:t>
      </w:r>
      <w:r w:rsidR="00F84165" w:rsidRPr="00575CC5">
        <w:rPr>
          <w:rFonts w:ascii="Times New Roman" w:hAnsi="Times New Roman" w:cs="Times New Roman"/>
          <w:noProof/>
          <w:sz w:val="24"/>
          <w:szCs w:val="24"/>
          <w:lang w:val="en-IE"/>
        </w:rPr>
        <w:t xml:space="preserve"> within Member States. </w:t>
      </w:r>
    </w:p>
    <w:p w14:paraId="3B1E16B4" w14:textId="0C62CF06" w:rsidR="00CE78F0" w:rsidRDefault="005C7B15" w:rsidP="00C1622F">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study acknowledges certain limitations in relation to stakeholder engagement and availability of data given the short period since the transposition of the Directive. Many money laundering cases, particularly those involving newer forms such as stand-alone or self-laundering, often take several years to reach final adjudication, especially when appealed to higher courts. </w:t>
      </w:r>
      <w:r w:rsidR="00CE78F0">
        <w:rPr>
          <w:rFonts w:ascii="Times New Roman" w:hAnsi="Times New Roman" w:cs="Times New Roman"/>
          <w:noProof/>
          <w:sz w:val="24"/>
          <w:szCs w:val="24"/>
          <w:lang w:val="en-IE"/>
        </w:rPr>
        <w:t xml:space="preserve">In </w:t>
      </w:r>
      <w:r w:rsidR="008A075E">
        <w:rPr>
          <w:rFonts w:ascii="Times New Roman" w:hAnsi="Times New Roman" w:cs="Times New Roman"/>
          <w:noProof/>
          <w:sz w:val="24"/>
          <w:szCs w:val="24"/>
          <w:lang w:val="en-IE"/>
        </w:rPr>
        <w:t xml:space="preserve">an effort </w:t>
      </w:r>
      <w:r w:rsidR="00CE78F0">
        <w:rPr>
          <w:rFonts w:ascii="Times New Roman" w:hAnsi="Times New Roman" w:cs="Times New Roman"/>
          <w:noProof/>
          <w:sz w:val="24"/>
          <w:szCs w:val="24"/>
          <w:lang w:val="en-IE"/>
        </w:rPr>
        <w:t>to</w:t>
      </w:r>
      <w:r w:rsidR="008A075E">
        <w:rPr>
          <w:rFonts w:ascii="Times New Roman" w:hAnsi="Times New Roman" w:cs="Times New Roman"/>
          <w:noProof/>
          <w:sz w:val="24"/>
          <w:szCs w:val="24"/>
          <w:lang w:val="en-IE"/>
        </w:rPr>
        <w:t xml:space="preserve"> compensate for</w:t>
      </w:r>
      <w:r w:rsidR="00CE78F0">
        <w:rPr>
          <w:rFonts w:ascii="Times New Roman" w:hAnsi="Times New Roman" w:cs="Times New Roman"/>
          <w:noProof/>
          <w:sz w:val="24"/>
          <w:szCs w:val="24"/>
          <w:lang w:val="en-IE"/>
        </w:rPr>
        <w:t xml:space="preserve"> these limitations, the study provided alternative engagement options, such as bilateral</w:t>
      </w:r>
      <w:r w:rsidR="00CE78F0" w:rsidRPr="00CE78F0">
        <w:rPr>
          <w:rFonts w:ascii="Times New Roman" w:hAnsi="Times New Roman" w:cs="Times New Roman"/>
          <w:noProof/>
          <w:sz w:val="24"/>
          <w:szCs w:val="24"/>
          <w:lang w:val="en-IE"/>
        </w:rPr>
        <w:t xml:space="preserve"> consultations or focus group discussions</w:t>
      </w:r>
      <w:r w:rsidR="00CE78F0">
        <w:rPr>
          <w:rFonts w:ascii="Times New Roman" w:hAnsi="Times New Roman" w:cs="Times New Roman"/>
          <w:noProof/>
          <w:sz w:val="24"/>
          <w:szCs w:val="24"/>
          <w:lang w:val="en-IE"/>
        </w:rPr>
        <w:t xml:space="preserve">, to gather opinions and views that would </w:t>
      </w:r>
      <w:r w:rsidR="008A075E">
        <w:rPr>
          <w:rFonts w:ascii="Times New Roman" w:hAnsi="Times New Roman" w:cs="Times New Roman"/>
          <w:noProof/>
          <w:sz w:val="24"/>
          <w:szCs w:val="24"/>
          <w:lang w:val="en-IE"/>
        </w:rPr>
        <w:t xml:space="preserve">still </w:t>
      </w:r>
      <w:r w:rsidR="00CE78F0">
        <w:rPr>
          <w:rFonts w:ascii="Times New Roman" w:hAnsi="Times New Roman" w:cs="Times New Roman"/>
          <w:noProof/>
          <w:sz w:val="24"/>
          <w:szCs w:val="24"/>
          <w:lang w:val="en-IE"/>
        </w:rPr>
        <w:t>give insights into the practical application of the Directive on the ground.</w:t>
      </w:r>
    </w:p>
    <w:p w14:paraId="572FDD3F" w14:textId="324B8543" w:rsidR="00F84165" w:rsidRPr="00575CC5" w:rsidRDefault="008A075E" w:rsidP="00C1622F">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Notwithstanding the limitations</w:t>
      </w:r>
      <w:r w:rsidR="005C7B15" w:rsidRPr="00575CC5">
        <w:rPr>
          <w:rFonts w:ascii="Times New Roman" w:hAnsi="Times New Roman" w:cs="Times New Roman"/>
          <w:noProof/>
          <w:sz w:val="24"/>
          <w:szCs w:val="24"/>
          <w:lang w:val="en-IE"/>
        </w:rPr>
        <w:t xml:space="preserve">, the adopted methodology provided a sufficiently robust evidence base </w:t>
      </w:r>
      <w:r w:rsidR="00F219F4">
        <w:rPr>
          <w:rFonts w:ascii="Times New Roman" w:hAnsi="Times New Roman" w:cs="Times New Roman"/>
          <w:noProof/>
          <w:sz w:val="24"/>
          <w:szCs w:val="24"/>
          <w:lang w:val="en-IE"/>
        </w:rPr>
        <w:t>for</w:t>
      </w:r>
      <w:r w:rsidR="00F219F4" w:rsidRPr="00575CC5">
        <w:rPr>
          <w:rFonts w:ascii="Times New Roman" w:hAnsi="Times New Roman" w:cs="Times New Roman"/>
          <w:noProof/>
          <w:sz w:val="24"/>
          <w:szCs w:val="24"/>
          <w:lang w:val="en-IE"/>
        </w:rPr>
        <w:t xml:space="preserve"> </w:t>
      </w:r>
      <w:r w:rsidR="005C7B15" w:rsidRPr="00575CC5">
        <w:rPr>
          <w:rFonts w:ascii="Times New Roman" w:hAnsi="Times New Roman" w:cs="Times New Roman"/>
          <w:noProof/>
          <w:sz w:val="24"/>
          <w:szCs w:val="24"/>
          <w:lang w:val="en-IE"/>
        </w:rPr>
        <w:t>assess</w:t>
      </w:r>
      <w:r w:rsidR="00F219F4">
        <w:rPr>
          <w:rFonts w:ascii="Times New Roman" w:hAnsi="Times New Roman" w:cs="Times New Roman"/>
          <w:noProof/>
          <w:sz w:val="24"/>
          <w:szCs w:val="24"/>
          <w:lang w:val="en-IE"/>
        </w:rPr>
        <w:t>ing</w:t>
      </w:r>
      <w:r w:rsidR="005C7B15" w:rsidRPr="00575CC5">
        <w:rPr>
          <w:rFonts w:ascii="Times New Roman" w:hAnsi="Times New Roman" w:cs="Times New Roman"/>
          <w:noProof/>
          <w:sz w:val="24"/>
          <w:szCs w:val="24"/>
          <w:lang w:val="en-IE"/>
        </w:rPr>
        <w:t xml:space="preserve"> the Directive’s performance, identify</w:t>
      </w:r>
      <w:r w:rsidR="00F219F4">
        <w:rPr>
          <w:rFonts w:ascii="Times New Roman" w:hAnsi="Times New Roman" w:cs="Times New Roman"/>
          <w:noProof/>
          <w:sz w:val="24"/>
          <w:szCs w:val="24"/>
          <w:lang w:val="en-IE"/>
        </w:rPr>
        <w:t>ing</w:t>
      </w:r>
      <w:r w:rsidR="005C7B15" w:rsidRPr="00575CC5">
        <w:rPr>
          <w:rFonts w:ascii="Times New Roman" w:hAnsi="Times New Roman" w:cs="Times New Roman"/>
          <w:noProof/>
          <w:sz w:val="24"/>
          <w:szCs w:val="24"/>
          <w:lang w:val="en-IE"/>
        </w:rPr>
        <w:t xml:space="preserve"> shortcomings and propos</w:t>
      </w:r>
      <w:r w:rsidR="00F219F4">
        <w:rPr>
          <w:rFonts w:ascii="Times New Roman" w:hAnsi="Times New Roman" w:cs="Times New Roman"/>
          <w:noProof/>
          <w:sz w:val="24"/>
          <w:szCs w:val="24"/>
          <w:lang w:val="en-IE"/>
        </w:rPr>
        <w:t>ing</w:t>
      </w:r>
      <w:r w:rsidR="005C7B15" w:rsidRPr="00575CC5">
        <w:rPr>
          <w:rFonts w:ascii="Times New Roman" w:hAnsi="Times New Roman" w:cs="Times New Roman"/>
          <w:noProof/>
          <w:sz w:val="24"/>
          <w:szCs w:val="24"/>
          <w:lang w:val="en-IE"/>
        </w:rPr>
        <w:t xml:space="preserve"> recommendations for possible future revision. A detailed description of the methodology and analytical tools is set out in Annex </w:t>
      </w:r>
      <w:r w:rsidR="006F4E22">
        <w:rPr>
          <w:rFonts w:ascii="Times New Roman" w:hAnsi="Times New Roman" w:cs="Times New Roman"/>
          <w:noProof/>
          <w:sz w:val="24"/>
          <w:szCs w:val="24"/>
          <w:lang w:val="en-IE"/>
        </w:rPr>
        <w:t>I</w:t>
      </w:r>
      <w:r w:rsidR="005C7B15" w:rsidRPr="00575CC5">
        <w:rPr>
          <w:rFonts w:ascii="Times New Roman" w:hAnsi="Times New Roman" w:cs="Times New Roman"/>
          <w:noProof/>
          <w:sz w:val="24"/>
          <w:szCs w:val="24"/>
          <w:lang w:val="en-IE"/>
        </w:rPr>
        <w:t>.</w:t>
      </w:r>
    </w:p>
    <w:p w14:paraId="1B5D855C" w14:textId="1B44E919" w:rsidR="008530D4" w:rsidRPr="00575CC5" w:rsidRDefault="00147D71" w:rsidP="00147D71">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0" w:name="_Toc42093672"/>
      <w:bookmarkStart w:id="11" w:name="_Toc42093883"/>
      <w:bookmarkStart w:id="12" w:name="_Toc223439246"/>
      <w:r w:rsidRPr="00575CC5">
        <w:rPr>
          <w:noProof/>
          <w:szCs w:val="24"/>
          <w:lang w:val="en-IE"/>
        </w:rPr>
        <w:t xml:space="preserve">What was </w:t>
      </w:r>
      <w:r w:rsidR="009610DF" w:rsidRPr="00575CC5">
        <w:rPr>
          <w:noProof/>
          <w:szCs w:val="24"/>
          <w:lang w:val="en-IE"/>
        </w:rPr>
        <w:t xml:space="preserve">the </w:t>
      </w:r>
      <w:r w:rsidRPr="00575CC5">
        <w:rPr>
          <w:noProof/>
          <w:szCs w:val="24"/>
          <w:lang w:val="en-IE"/>
        </w:rPr>
        <w:t xml:space="preserve">expected </w:t>
      </w:r>
      <w:r w:rsidR="009610DF" w:rsidRPr="00575CC5">
        <w:rPr>
          <w:noProof/>
          <w:szCs w:val="24"/>
          <w:lang w:val="en-IE"/>
        </w:rPr>
        <w:t>outcome of the intervention</w:t>
      </w:r>
      <w:r w:rsidRPr="00575CC5">
        <w:rPr>
          <w:noProof/>
          <w:szCs w:val="24"/>
          <w:lang w:val="en-IE"/>
        </w:rPr>
        <w:t>?</w:t>
      </w:r>
      <w:bookmarkEnd w:id="10"/>
      <w:bookmarkEnd w:id="11"/>
      <w:bookmarkEnd w:id="12"/>
    </w:p>
    <w:p w14:paraId="16943F38" w14:textId="55A00949" w:rsidR="00B85AB9" w:rsidRPr="00575CC5" w:rsidRDefault="00E7195F" w:rsidP="00BB3734">
      <w:pPr>
        <w:pStyle w:val="Heading2"/>
        <w:numPr>
          <w:ilvl w:val="1"/>
          <w:numId w:val="6"/>
        </w:numPr>
        <w:rPr>
          <w:noProof/>
          <w:szCs w:val="24"/>
        </w:rPr>
      </w:pPr>
      <w:bookmarkStart w:id="13" w:name="_Toc42093483"/>
      <w:bookmarkStart w:id="14" w:name="_Toc42093550"/>
      <w:bookmarkStart w:id="15" w:name="_Toc42093673"/>
      <w:bookmarkStart w:id="16" w:name="_Toc42093884"/>
      <w:r w:rsidRPr="00575CC5">
        <w:rPr>
          <w:noProof/>
          <w:szCs w:val="24"/>
        </w:rPr>
        <w:t xml:space="preserve">  </w:t>
      </w:r>
      <w:bookmarkStart w:id="17" w:name="_Toc223439247"/>
      <w:r w:rsidR="008530D4" w:rsidRPr="00575CC5">
        <w:rPr>
          <w:noProof/>
          <w:szCs w:val="24"/>
        </w:rPr>
        <w:t xml:space="preserve">Description of the </w:t>
      </w:r>
      <w:r w:rsidR="00C1622F" w:rsidRPr="00575CC5">
        <w:rPr>
          <w:noProof/>
          <w:szCs w:val="24"/>
        </w:rPr>
        <w:t>main elements</w:t>
      </w:r>
      <w:r w:rsidR="008530D4" w:rsidRPr="00575CC5">
        <w:rPr>
          <w:noProof/>
          <w:szCs w:val="24"/>
        </w:rPr>
        <w:t xml:space="preserve"> and objectives</w:t>
      </w:r>
      <w:bookmarkEnd w:id="13"/>
      <w:bookmarkEnd w:id="14"/>
      <w:bookmarkEnd w:id="15"/>
      <w:bookmarkEnd w:id="16"/>
      <w:r w:rsidR="00C1622F" w:rsidRPr="00575CC5">
        <w:rPr>
          <w:noProof/>
          <w:szCs w:val="24"/>
        </w:rPr>
        <w:t xml:space="preserve"> of Directive</w:t>
      </w:r>
      <w:r w:rsidR="00F219F4">
        <w:rPr>
          <w:noProof/>
          <w:szCs w:val="24"/>
        </w:rPr>
        <w:t xml:space="preserve"> (EU)</w:t>
      </w:r>
      <w:r w:rsidR="00C1622F" w:rsidRPr="00575CC5">
        <w:rPr>
          <w:noProof/>
          <w:szCs w:val="24"/>
        </w:rPr>
        <w:t xml:space="preserve"> 2018/1673 on combating money laundering by criminal law</w:t>
      </w:r>
      <w:bookmarkEnd w:id="17"/>
    </w:p>
    <w:p w14:paraId="7D447D3C" w14:textId="17A67965" w:rsidR="00C1622F" w:rsidRPr="00575CC5" w:rsidRDefault="00C1622F" w:rsidP="00C1622F">
      <w:p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Annex II shows the intervention logic of the Directive in full detail.</w:t>
      </w:r>
    </w:p>
    <w:p w14:paraId="488E7F09" w14:textId="3D1733FF" w:rsidR="009D352C" w:rsidRDefault="009D352C" w:rsidP="00C1622F">
      <w:pPr>
        <w:jc w:val="both"/>
        <w:rPr>
          <w:rFonts w:ascii="Times New Roman" w:hAnsi="Times New Roman" w:cs="Times New Roman"/>
          <w:bCs/>
          <w:noProof/>
          <w:sz w:val="24"/>
          <w:szCs w:val="24"/>
          <w:lang w:val="en-IE"/>
        </w:rPr>
      </w:pPr>
    </w:p>
    <w:p w14:paraId="0D2536B4" w14:textId="689F39D8" w:rsidR="006D77CF" w:rsidRDefault="006D77CF" w:rsidP="00172619">
      <w:pPr>
        <w:ind w:left="-567"/>
        <w:rPr>
          <w:rFonts w:ascii="Times New Roman" w:hAnsi="Times New Roman" w:cs="Times New Roman"/>
          <w:bCs/>
          <w:noProof/>
          <w:sz w:val="24"/>
          <w:szCs w:val="24"/>
          <w:lang w:val="en-IE"/>
        </w:rPr>
      </w:pPr>
      <w:r w:rsidRPr="005F3F56">
        <w:rPr>
          <w:rFonts w:ascii="Arial" w:hAnsi="Arial" w:cs="Arial"/>
          <w:noProof/>
          <w:lang w:eastAsia="en-GB"/>
        </w:rPr>
        <w:drawing>
          <wp:inline distT="0" distB="0" distL="0" distR="0" wp14:anchorId="3F7AFB05" wp14:editId="63CCC661">
            <wp:extent cx="6491663" cy="4763069"/>
            <wp:effectExtent l="0" t="0" r="4445" b="0"/>
            <wp:docPr id="44" name="Picture 44"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screenshot of a computer screen&#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06238" cy="4773763"/>
                    </a:xfrm>
                    <a:prstGeom prst="rect">
                      <a:avLst/>
                    </a:prstGeom>
                    <a:noFill/>
                  </pic:spPr>
                </pic:pic>
              </a:graphicData>
            </a:graphic>
          </wp:inline>
        </w:drawing>
      </w:r>
    </w:p>
    <w:p w14:paraId="47856E58" w14:textId="52E3B55D" w:rsidR="00C1622F" w:rsidRPr="00575CC5" w:rsidRDefault="00C1622F" w:rsidP="00C1622F">
      <w:p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 xml:space="preserve">As </w:t>
      </w:r>
      <w:r w:rsidR="006F4E22">
        <w:rPr>
          <w:rFonts w:ascii="Times New Roman" w:hAnsi="Times New Roman" w:cs="Times New Roman"/>
          <w:bCs/>
          <w:noProof/>
          <w:sz w:val="24"/>
          <w:szCs w:val="24"/>
          <w:lang w:val="en-IE"/>
        </w:rPr>
        <w:t>emphasi</w:t>
      </w:r>
      <w:r w:rsidR="00EF4717">
        <w:rPr>
          <w:rFonts w:ascii="Times New Roman" w:hAnsi="Times New Roman" w:cs="Times New Roman"/>
          <w:bCs/>
          <w:noProof/>
          <w:sz w:val="24"/>
          <w:szCs w:val="24"/>
          <w:lang w:val="en-IE"/>
        </w:rPr>
        <w:t>s</w:t>
      </w:r>
      <w:r w:rsidR="006F4E22">
        <w:rPr>
          <w:rFonts w:ascii="Times New Roman" w:hAnsi="Times New Roman" w:cs="Times New Roman"/>
          <w:bCs/>
          <w:noProof/>
          <w:sz w:val="24"/>
          <w:szCs w:val="24"/>
          <w:lang w:val="en-IE"/>
        </w:rPr>
        <w:t>ed</w:t>
      </w:r>
      <w:r w:rsidR="00FA7A41" w:rsidRPr="00575CC5">
        <w:rPr>
          <w:rFonts w:ascii="Times New Roman" w:hAnsi="Times New Roman" w:cs="Times New Roman"/>
          <w:bCs/>
          <w:noProof/>
          <w:sz w:val="24"/>
          <w:szCs w:val="24"/>
          <w:lang w:val="en-IE"/>
        </w:rPr>
        <w:t xml:space="preserve"> in </w:t>
      </w:r>
      <w:r w:rsidRPr="00575CC5">
        <w:rPr>
          <w:rFonts w:ascii="Times New Roman" w:hAnsi="Times New Roman" w:cs="Times New Roman"/>
          <w:bCs/>
          <w:noProof/>
          <w:sz w:val="24"/>
          <w:szCs w:val="24"/>
          <w:lang w:val="en-IE"/>
        </w:rPr>
        <w:t xml:space="preserve">recital 1 of the Directive, money laundering poses a serious threat to the integrity, stability and reputation of the financial sector and to the internal market, as well as to the security of </w:t>
      </w:r>
      <w:r w:rsidR="00F219F4">
        <w:rPr>
          <w:rFonts w:ascii="Times New Roman" w:hAnsi="Times New Roman" w:cs="Times New Roman"/>
          <w:bCs/>
          <w:noProof/>
          <w:sz w:val="24"/>
          <w:szCs w:val="24"/>
          <w:lang w:val="en-IE"/>
        </w:rPr>
        <w:t xml:space="preserve">people in the </w:t>
      </w:r>
      <w:r w:rsidRPr="00575CC5">
        <w:rPr>
          <w:rFonts w:ascii="Times New Roman" w:hAnsi="Times New Roman" w:cs="Times New Roman"/>
          <w:bCs/>
          <w:noProof/>
          <w:sz w:val="24"/>
          <w:szCs w:val="24"/>
          <w:lang w:val="en-IE"/>
        </w:rPr>
        <w:t>EU. There was therefore a need to strengthen the EU’s legal framework to effectively combat money laundering by criminal law (need 1).</w:t>
      </w:r>
    </w:p>
    <w:p w14:paraId="64E6F012" w14:textId="29903444" w:rsidR="00C1622F" w:rsidRPr="00575CC5" w:rsidRDefault="00C1622F" w:rsidP="00C1622F">
      <w:p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The lack of harmonisation in the definition of money laundering offences and predicate offences limited the effectiveness of measures</w:t>
      </w:r>
      <w:r w:rsidR="00150F6D" w:rsidRPr="00575CC5">
        <w:rPr>
          <w:rFonts w:ascii="Times New Roman" w:hAnsi="Times New Roman" w:cs="Times New Roman"/>
          <w:bCs/>
          <w:noProof/>
          <w:sz w:val="24"/>
          <w:szCs w:val="24"/>
          <w:lang w:val="en-IE"/>
        </w:rPr>
        <w:t xml:space="preserve"> at the time</w:t>
      </w:r>
      <w:r w:rsidRPr="00575CC5">
        <w:rPr>
          <w:rFonts w:ascii="Times New Roman" w:hAnsi="Times New Roman" w:cs="Times New Roman"/>
          <w:bCs/>
          <w:noProof/>
          <w:sz w:val="24"/>
          <w:szCs w:val="24"/>
          <w:lang w:val="en-IE"/>
        </w:rPr>
        <w:t xml:space="preserve">. There was therefore a need to ensure </w:t>
      </w:r>
      <w:r w:rsidR="00F219F4">
        <w:rPr>
          <w:rFonts w:ascii="Times New Roman" w:hAnsi="Times New Roman" w:cs="Times New Roman"/>
          <w:bCs/>
          <w:noProof/>
          <w:sz w:val="24"/>
          <w:szCs w:val="24"/>
          <w:lang w:val="en-IE"/>
        </w:rPr>
        <w:t>consistent</w:t>
      </w:r>
      <w:r w:rsidR="00F219F4" w:rsidRPr="00575CC5">
        <w:rPr>
          <w:rFonts w:ascii="Times New Roman" w:hAnsi="Times New Roman" w:cs="Times New Roman"/>
          <w:bCs/>
          <w:noProof/>
          <w:sz w:val="24"/>
          <w:szCs w:val="24"/>
          <w:lang w:val="en-IE"/>
        </w:rPr>
        <w:t xml:space="preserve"> </w:t>
      </w:r>
      <w:r w:rsidRPr="00575CC5">
        <w:rPr>
          <w:rFonts w:ascii="Times New Roman" w:hAnsi="Times New Roman" w:cs="Times New Roman"/>
          <w:bCs/>
          <w:noProof/>
          <w:sz w:val="24"/>
          <w:szCs w:val="24"/>
          <w:lang w:val="en-IE"/>
        </w:rPr>
        <w:t xml:space="preserve">and uniform definitions across the </w:t>
      </w:r>
      <w:r w:rsidR="00F219F4">
        <w:rPr>
          <w:rFonts w:ascii="Times New Roman" w:hAnsi="Times New Roman" w:cs="Times New Roman"/>
          <w:bCs/>
          <w:noProof/>
          <w:sz w:val="24"/>
          <w:szCs w:val="24"/>
          <w:lang w:val="en-IE"/>
        </w:rPr>
        <w:t>EU</w:t>
      </w:r>
      <w:r w:rsidR="00F219F4" w:rsidRPr="00575CC5">
        <w:rPr>
          <w:rFonts w:ascii="Times New Roman" w:hAnsi="Times New Roman" w:cs="Times New Roman"/>
          <w:bCs/>
          <w:noProof/>
          <w:sz w:val="24"/>
          <w:szCs w:val="24"/>
          <w:lang w:val="en-IE"/>
        </w:rPr>
        <w:t xml:space="preserve"> </w:t>
      </w:r>
      <w:r w:rsidRPr="00575CC5">
        <w:rPr>
          <w:rFonts w:ascii="Times New Roman" w:hAnsi="Times New Roman" w:cs="Times New Roman"/>
          <w:bCs/>
          <w:noProof/>
          <w:sz w:val="24"/>
          <w:szCs w:val="24"/>
          <w:lang w:val="en-IE"/>
        </w:rPr>
        <w:t>(need 2).</w:t>
      </w:r>
    </w:p>
    <w:p w14:paraId="0A94D508" w14:textId="3EEA4696" w:rsidR="00C1622F" w:rsidRPr="00575CC5" w:rsidRDefault="00C1622F" w:rsidP="555A6A8D">
      <w:p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 xml:space="preserve">The absence of proportionate and consistent </w:t>
      </w:r>
      <w:r w:rsidR="00F85EE1">
        <w:rPr>
          <w:rFonts w:ascii="Times New Roman" w:hAnsi="Times New Roman" w:cs="Times New Roman"/>
          <w:bCs/>
          <w:noProof/>
          <w:sz w:val="24"/>
          <w:szCs w:val="24"/>
          <w:lang w:val="en-IE"/>
        </w:rPr>
        <w:t xml:space="preserve">penalties and </w:t>
      </w:r>
      <w:r w:rsidRPr="00575CC5">
        <w:rPr>
          <w:rFonts w:ascii="Times New Roman" w:hAnsi="Times New Roman" w:cs="Times New Roman"/>
          <w:bCs/>
          <w:noProof/>
          <w:sz w:val="24"/>
          <w:szCs w:val="24"/>
          <w:lang w:val="en-IE"/>
        </w:rPr>
        <w:t>sanctions for money laundering offences across Member States further hindered effective enforcement. There was therefore a need to establish minimum rules</w:t>
      </w:r>
      <w:r w:rsidR="00F85EE1">
        <w:rPr>
          <w:rFonts w:ascii="Times New Roman" w:hAnsi="Times New Roman" w:cs="Times New Roman"/>
          <w:bCs/>
          <w:noProof/>
          <w:sz w:val="24"/>
          <w:szCs w:val="24"/>
          <w:lang w:val="en-IE"/>
        </w:rPr>
        <w:t xml:space="preserve"> across the </w:t>
      </w:r>
      <w:r w:rsidR="00F219F4">
        <w:rPr>
          <w:rFonts w:ascii="Times New Roman" w:hAnsi="Times New Roman" w:cs="Times New Roman"/>
          <w:bCs/>
          <w:noProof/>
          <w:sz w:val="24"/>
          <w:szCs w:val="24"/>
          <w:lang w:val="en-IE"/>
        </w:rPr>
        <w:t>EU</w:t>
      </w:r>
      <w:r w:rsidR="00F219F4" w:rsidRPr="00575CC5">
        <w:rPr>
          <w:rFonts w:ascii="Times New Roman" w:hAnsi="Times New Roman" w:cs="Times New Roman"/>
          <w:bCs/>
          <w:noProof/>
          <w:sz w:val="24"/>
          <w:szCs w:val="24"/>
          <w:lang w:val="en-IE"/>
        </w:rPr>
        <w:t xml:space="preserve"> </w:t>
      </w:r>
      <w:r w:rsidRPr="00575CC5" w:rsidDel="00C1622F">
        <w:rPr>
          <w:rFonts w:ascii="Times New Roman" w:hAnsi="Times New Roman" w:cs="Times New Roman"/>
          <w:bCs/>
          <w:noProof/>
          <w:sz w:val="24"/>
          <w:szCs w:val="24"/>
          <w:lang w:val="en-IE"/>
        </w:rPr>
        <w:t xml:space="preserve">on penalties and sanctions </w:t>
      </w:r>
      <w:r w:rsidRPr="00575CC5">
        <w:rPr>
          <w:rFonts w:ascii="Times New Roman" w:hAnsi="Times New Roman" w:cs="Times New Roman"/>
          <w:bCs/>
          <w:noProof/>
          <w:sz w:val="24"/>
          <w:szCs w:val="24"/>
          <w:lang w:val="en-IE"/>
        </w:rPr>
        <w:t>(need 3).</w:t>
      </w:r>
    </w:p>
    <w:p w14:paraId="1D8D2811" w14:textId="4C4DB9CF" w:rsidR="00C1622F" w:rsidRPr="00575CC5" w:rsidRDefault="00C1622F" w:rsidP="00C1622F">
      <w:p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 xml:space="preserve">Finally, the evolving nature of organised crime, including new forms of criminal activity and </w:t>
      </w:r>
      <w:r w:rsidRPr="00172619">
        <w:rPr>
          <w:rFonts w:ascii="Times New Roman" w:hAnsi="Times New Roman" w:cs="Times New Roman"/>
          <w:bCs/>
          <w:i/>
          <w:iCs/>
          <w:noProof/>
          <w:sz w:val="24"/>
          <w:szCs w:val="24"/>
          <w:lang w:val="en-IE"/>
        </w:rPr>
        <w:t>mo</w:t>
      </w:r>
      <w:r w:rsidR="00F219F4">
        <w:rPr>
          <w:rFonts w:ascii="Times New Roman" w:hAnsi="Times New Roman" w:cs="Times New Roman"/>
          <w:bCs/>
          <w:i/>
          <w:iCs/>
          <w:noProof/>
          <w:sz w:val="24"/>
          <w:szCs w:val="24"/>
          <w:lang w:val="en-IE"/>
        </w:rPr>
        <w:t>di</w:t>
      </w:r>
      <w:r w:rsidRPr="00172619">
        <w:rPr>
          <w:rFonts w:ascii="Times New Roman" w:hAnsi="Times New Roman" w:cs="Times New Roman"/>
          <w:bCs/>
          <w:i/>
          <w:iCs/>
          <w:noProof/>
          <w:sz w:val="24"/>
          <w:szCs w:val="24"/>
          <w:lang w:val="en-IE"/>
        </w:rPr>
        <w:t xml:space="preserve"> operandi</w:t>
      </w:r>
      <w:r w:rsidRPr="00575CC5">
        <w:rPr>
          <w:rFonts w:ascii="Times New Roman" w:hAnsi="Times New Roman" w:cs="Times New Roman"/>
          <w:bCs/>
          <w:noProof/>
          <w:sz w:val="24"/>
          <w:szCs w:val="24"/>
          <w:lang w:val="en-IE"/>
        </w:rPr>
        <w:t xml:space="preserve"> such as self-laundering, called for a reinforced and future-proof legal framework (need </w:t>
      </w:r>
      <w:r w:rsidR="003D3FA3" w:rsidRPr="00575CC5">
        <w:rPr>
          <w:rFonts w:ascii="Times New Roman" w:hAnsi="Times New Roman" w:cs="Times New Roman"/>
          <w:bCs/>
          <w:noProof/>
          <w:sz w:val="24"/>
          <w:szCs w:val="24"/>
          <w:lang w:val="en-IE"/>
        </w:rPr>
        <w:t>4</w:t>
      </w:r>
      <w:r w:rsidRPr="00575CC5">
        <w:rPr>
          <w:rFonts w:ascii="Times New Roman" w:hAnsi="Times New Roman" w:cs="Times New Roman"/>
          <w:bCs/>
          <w:noProof/>
          <w:sz w:val="24"/>
          <w:szCs w:val="24"/>
          <w:lang w:val="en-IE"/>
        </w:rPr>
        <w:t>).</w:t>
      </w:r>
    </w:p>
    <w:p w14:paraId="4B46C434" w14:textId="4D382660" w:rsidR="00C1622F" w:rsidRPr="00575CC5" w:rsidRDefault="00C1622F" w:rsidP="00C1622F">
      <w:p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 xml:space="preserve">To address these needs, the Directive sought to provide a common EU-wide framework for the criminalisation of money laundering and the strengthening of judicial and law enforcement responses. The Directive’s general objective is to reinforce the EU’s anti-money laundering regime through criminal law. More specifically, the Directive </w:t>
      </w:r>
      <w:r w:rsidR="00F219F4">
        <w:rPr>
          <w:rFonts w:ascii="Times New Roman" w:hAnsi="Times New Roman" w:cs="Times New Roman"/>
          <w:bCs/>
          <w:noProof/>
          <w:sz w:val="24"/>
          <w:szCs w:val="24"/>
          <w:lang w:val="en-IE"/>
        </w:rPr>
        <w:t>had the</w:t>
      </w:r>
      <w:r w:rsidR="004946B8" w:rsidRPr="00575CC5">
        <w:rPr>
          <w:rFonts w:ascii="Times New Roman" w:hAnsi="Times New Roman" w:cs="Times New Roman"/>
          <w:bCs/>
          <w:noProof/>
          <w:sz w:val="24"/>
          <w:szCs w:val="24"/>
          <w:lang w:val="en-IE"/>
        </w:rPr>
        <w:t xml:space="preserve"> following objectives</w:t>
      </w:r>
      <w:r w:rsidRPr="00575CC5">
        <w:rPr>
          <w:rFonts w:ascii="Times New Roman" w:hAnsi="Times New Roman" w:cs="Times New Roman"/>
          <w:bCs/>
          <w:noProof/>
          <w:sz w:val="24"/>
          <w:szCs w:val="24"/>
          <w:lang w:val="en-IE"/>
        </w:rPr>
        <w:t>:</w:t>
      </w:r>
    </w:p>
    <w:p w14:paraId="26AF5632" w14:textId="60E78953" w:rsidR="003736F2" w:rsidRPr="00575CC5" w:rsidRDefault="003736F2" w:rsidP="003736F2">
      <w:pPr>
        <w:numPr>
          <w:ilvl w:val="0"/>
          <w:numId w:val="19"/>
        </w:num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ensuring the </w:t>
      </w:r>
      <w:r w:rsidR="00275011" w:rsidRPr="00575CC5">
        <w:rPr>
          <w:rFonts w:ascii="Times New Roman" w:hAnsi="Times New Roman" w:cs="Times New Roman"/>
          <w:noProof/>
          <w:sz w:val="24"/>
          <w:szCs w:val="24"/>
          <w:lang w:val="en-IE"/>
        </w:rPr>
        <w:t xml:space="preserve">effective </w:t>
      </w:r>
      <w:r w:rsidRPr="00575CC5">
        <w:rPr>
          <w:rFonts w:ascii="Times New Roman" w:hAnsi="Times New Roman" w:cs="Times New Roman"/>
          <w:noProof/>
          <w:sz w:val="24"/>
          <w:szCs w:val="24"/>
          <w:lang w:val="en-IE"/>
        </w:rPr>
        <w:t>criminalisation of money laundering offences across the EU;</w:t>
      </w:r>
    </w:p>
    <w:p w14:paraId="2F8A7BEE" w14:textId="77777777" w:rsidR="003736F2" w:rsidRPr="00575CC5" w:rsidRDefault="003736F2" w:rsidP="003736F2">
      <w:pPr>
        <w:numPr>
          <w:ilvl w:val="0"/>
          <w:numId w:val="19"/>
        </w:num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introducing clear and uniform definitions of predicate offences;</w:t>
      </w:r>
    </w:p>
    <w:p w14:paraId="6EC1230A" w14:textId="3A40F443" w:rsidR="003736F2" w:rsidRPr="00575CC5" w:rsidRDefault="003736F2" w:rsidP="003736F2">
      <w:pPr>
        <w:numPr>
          <w:ilvl w:val="0"/>
          <w:numId w:val="19"/>
        </w:num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establishing consistent and proportionate penalties and sanctions;</w:t>
      </w:r>
      <w:r w:rsidR="00387CB6" w:rsidRPr="00575CC5">
        <w:rPr>
          <w:rFonts w:ascii="Times New Roman" w:hAnsi="Times New Roman" w:cs="Times New Roman"/>
          <w:noProof/>
          <w:sz w:val="24"/>
          <w:szCs w:val="24"/>
          <w:lang w:val="en-IE"/>
        </w:rPr>
        <w:t xml:space="preserve"> </w:t>
      </w:r>
    </w:p>
    <w:p w14:paraId="08D147FB" w14:textId="78A980A3" w:rsidR="003736F2" w:rsidRPr="00575CC5" w:rsidRDefault="003736F2" w:rsidP="00943FA5">
      <w:pPr>
        <w:numPr>
          <w:ilvl w:val="0"/>
          <w:numId w:val="19"/>
        </w:num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enhancing cooperation and information exchange between Member States.</w:t>
      </w:r>
    </w:p>
    <w:p w14:paraId="7AAADC02" w14:textId="46F3E42B" w:rsidR="00C1622F" w:rsidRPr="00575CC5" w:rsidRDefault="00C1622F" w:rsidP="248BA898">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expected impacts of the Directive </w:t>
      </w:r>
      <w:r w:rsidR="008A075E">
        <w:rPr>
          <w:rFonts w:ascii="Times New Roman" w:hAnsi="Times New Roman" w:cs="Times New Roman"/>
          <w:noProof/>
          <w:sz w:val="24"/>
          <w:szCs w:val="24"/>
          <w:lang w:val="en-IE"/>
        </w:rPr>
        <w:t>we</w:t>
      </w:r>
      <w:r w:rsidR="008A075E" w:rsidRPr="00575CC5">
        <w:rPr>
          <w:rFonts w:ascii="Times New Roman" w:hAnsi="Times New Roman" w:cs="Times New Roman"/>
          <w:noProof/>
          <w:sz w:val="24"/>
          <w:szCs w:val="24"/>
          <w:lang w:val="en-IE"/>
        </w:rPr>
        <w:t>re</w:t>
      </w:r>
      <w:r w:rsidRPr="00575CC5">
        <w:rPr>
          <w:rFonts w:ascii="Times New Roman" w:hAnsi="Times New Roman" w:cs="Times New Roman"/>
          <w:noProof/>
          <w:sz w:val="24"/>
          <w:szCs w:val="24"/>
          <w:lang w:val="en-IE"/>
        </w:rPr>
        <w:t>:</w:t>
      </w:r>
    </w:p>
    <w:p w14:paraId="6CBF082B" w14:textId="77777777" w:rsidR="004B233E" w:rsidRPr="00575CC5" w:rsidRDefault="004B233E" w:rsidP="00161031">
      <w:pPr>
        <w:numPr>
          <w:ilvl w:val="0"/>
          <w:numId w:val="20"/>
        </w:num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more effective investigation and prosecution of money laundering perpetrators, through the adoption of harmonised offences, penalties and sanctions;</w:t>
      </w:r>
    </w:p>
    <w:p w14:paraId="77A9394D" w14:textId="6F101507" w:rsidR="004B233E" w:rsidRPr="00575CC5" w:rsidRDefault="004B233E" w:rsidP="00161031">
      <w:pPr>
        <w:numPr>
          <w:ilvl w:val="0"/>
          <w:numId w:val="20"/>
        </w:num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increased protection of</w:t>
      </w:r>
      <w:r w:rsidR="00F219F4">
        <w:rPr>
          <w:rFonts w:ascii="Times New Roman" w:hAnsi="Times New Roman" w:cs="Times New Roman"/>
          <w:bCs/>
          <w:noProof/>
          <w:sz w:val="24"/>
          <w:szCs w:val="24"/>
          <w:lang w:val="en-IE"/>
        </w:rPr>
        <w:t xml:space="preserve"> people in the</w:t>
      </w:r>
      <w:r w:rsidRPr="00575CC5">
        <w:rPr>
          <w:rFonts w:ascii="Times New Roman" w:hAnsi="Times New Roman" w:cs="Times New Roman"/>
          <w:bCs/>
          <w:noProof/>
          <w:sz w:val="24"/>
          <w:szCs w:val="24"/>
          <w:lang w:val="en-IE"/>
        </w:rPr>
        <w:t xml:space="preserve"> EU and </w:t>
      </w:r>
      <w:r w:rsidR="00EB28B5">
        <w:rPr>
          <w:rFonts w:ascii="Times New Roman" w:hAnsi="Times New Roman" w:cs="Times New Roman"/>
          <w:bCs/>
          <w:noProof/>
          <w:sz w:val="24"/>
          <w:szCs w:val="24"/>
          <w:lang w:val="en-IE"/>
        </w:rPr>
        <w:t xml:space="preserve">of </w:t>
      </w:r>
      <w:r w:rsidRPr="00575CC5">
        <w:rPr>
          <w:rFonts w:ascii="Times New Roman" w:hAnsi="Times New Roman" w:cs="Times New Roman"/>
          <w:bCs/>
          <w:noProof/>
          <w:sz w:val="24"/>
          <w:szCs w:val="24"/>
          <w:lang w:val="en-IE"/>
        </w:rPr>
        <w:t>the internal market against threats of organised crime and terrorist financing, through the availability of effective tools for authorities to investigate money laundering and bring perpetrators</w:t>
      </w:r>
      <w:r w:rsidR="00F219F4">
        <w:rPr>
          <w:rFonts w:ascii="Times New Roman" w:hAnsi="Times New Roman" w:cs="Times New Roman"/>
          <w:bCs/>
          <w:noProof/>
          <w:sz w:val="24"/>
          <w:szCs w:val="24"/>
          <w:lang w:val="en-IE"/>
        </w:rPr>
        <w:t>, including legal entities,</w:t>
      </w:r>
      <w:r w:rsidRPr="00575CC5">
        <w:rPr>
          <w:rFonts w:ascii="Times New Roman" w:hAnsi="Times New Roman" w:cs="Times New Roman"/>
          <w:bCs/>
          <w:noProof/>
          <w:sz w:val="24"/>
          <w:szCs w:val="24"/>
          <w:lang w:val="en-IE"/>
        </w:rPr>
        <w:t xml:space="preserve"> to justice; </w:t>
      </w:r>
    </w:p>
    <w:p w14:paraId="32083D87" w14:textId="1665B29E" w:rsidR="004B233E" w:rsidRPr="00575CC5" w:rsidRDefault="004B233E" w:rsidP="00161031">
      <w:pPr>
        <w:numPr>
          <w:ilvl w:val="0"/>
          <w:numId w:val="20"/>
        </w:numPr>
        <w:jc w:val="both"/>
        <w:rPr>
          <w:rFonts w:ascii="Times New Roman" w:hAnsi="Times New Roman" w:cs="Times New Roman"/>
          <w:bCs/>
          <w:noProof/>
          <w:sz w:val="24"/>
          <w:szCs w:val="24"/>
          <w:lang w:val="en-IE"/>
        </w:rPr>
      </w:pPr>
      <w:r w:rsidRPr="00575CC5">
        <w:rPr>
          <w:rFonts w:ascii="Times New Roman" w:hAnsi="Times New Roman" w:cs="Times New Roman"/>
          <w:bCs/>
          <w:noProof/>
          <w:sz w:val="24"/>
          <w:szCs w:val="24"/>
          <w:lang w:val="en-IE"/>
        </w:rPr>
        <w:t>more efficient and coordinated cross-border action against money laundering, through strengthened cooperation and information exchange between Member States</w:t>
      </w:r>
      <w:r w:rsidR="00366FA1">
        <w:rPr>
          <w:rFonts w:ascii="Times New Roman" w:hAnsi="Times New Roman" w:cs="Times New Roman"/>
          <w:bCs/>
          <w:noProof/>
          <w:sz w:val="24"/>
          <w:szCs w:val="24"/>
          <w:lang w:val="en-IE"/>
        </w:rPr>
        <w:t>;</w:t>
      </w:r>
    </w:p>
    <w:p w14:paraId="53173F57" w14:textId="5682130A" w:rsidR="0078310B" w:rsidRDefault="00EA1A2E" w:rsidP="00BB3734">
      <w:pPr>
        <w:numPr>
          <w:ilvl w:val="0"/>
          <w:numId w:val="20"/>
        </w:numPr>
        <w:jc w:val="both"/>
        <w:rPr>
          <w:rFonts w:ascii="Times New Roman" w:hAnsi="Times New Roman" w:cs="Times New Roman"/>
          <w:bCs/>
          <w:noProof/>
          <w:sz w:val="24"/>
          <w:szCs w:val="24"/>
          <w:lang w:val="en-IE"/>
        </w:rPr>
      </w:pPr>
      <w:r>
        <w:rPr>
          <w:rFonts w:ascii="Times New Roman" w:hAnsi="Times New Roman" w:cs="Times New Roman"/>
          <w:bCs/>
          <w:noProof/>
          <w:sz w:val="24"/>
          <w:szCs w:val="24"/>
          <w:lang w:val="en-IE"/>
        </w:rPr>
        <w:t>m</w:t>
      </w:r>
      <w:r w:rsidR="0073516D">
        <w:rPr>
          <w:rFonts w:ascii="Times New Roman" w:hAnsi="Times New Roman" w:cs="Times New Roman"/>
          <w:bCs/>
          <w:noProof/>
          <w:sz w:val="24"/>
          <w:szCs w:val="24"/>
          <w:lang w:val="en-IE"/>
        </w:rPr>
        <w:t>ore e</w:t>
      </w:r>
      <w:r w:rsidR="00EF783F" w:rsidDel="00CE78F0">
        <w:rPr>
          <w:rFonts w:ascii="Times New Roman" w:hAnsi="Times New Roman" w:cs="Times New Roman"/>
          <w:bCs/>
          <w:noProof/>
          <w:sz w:val="24"/>
          <w:szCs w:val="24"/>
          <w:lang w:val="en-IE"/>
        </w:rPr>
        <w:t>ffective</w:t>
      </w:r>
      <w:r w:rsidR="001D4BB7" w:rsidDel="00CE78F0">
        <w:rPr>
          <w:rFonts w:ascii="Times New Roman" w:hAnsi="Times New Roman" w:cs="Times New Roman"/>
          <w:bCs/>
          <w:noProof/>
          <w:sz w:val="24"/>
          <w:szCs w:val="24"/>
          <w:lang w:val="en-IE"/>
        </w:rPr>
        <w:t xml:space="preserve"> investigative tool</w:t>
      </w:r>
      <w:r w:rsidR="0073516D">
        <w:rPr>
          <w:rFonts w:ascii="Times New Roman" w:hAnsi="Times New Roman" w:cs="Times New Roman"/>
          <w:bCs/>
          <w:noProof/>
          <w:sz w:val="24"/>
          <w:szCs w:val="24"/>
          <w:lang w:val="en-IE"/>
        </w:rPr>
        <w:t xml:space="preserve">s available to </w:t>
      </w:r>
      <w:r>
        <w:rPr>
          <w:rFonts w:ascii="Times New Roman" w:hAnsi="Times New Roman" w:cs="Times New Roman"/>
          <w:bCs/>
          <w:noProof/>
          <w:sz w:val="24"/>
          <w:szCs w:val="24"/>
          <w:lang w:val="en-IE"/>
        </w:rPr>
        <w:t>authorities</w:t>
      </w:r>
      <w:r w:rsidR="0073516D">
        <w:rPr>
          <w:rFonts w:ascii="Times New Roman" w:hAnsi="Times New Roman" w:cs="Times New Roman"/>
          <w:bCs/>
          <w:noProof/>
          <w:sz w:val="24"/>
          <w:szCs w:val="24"/>
          <w:lang w:val="en-IE"/>
        </w:rPr>
        <w:t xml:space="preserve"> in money laundering investigations</w:t>
      </w:r>
      <w:r w:rsidR="00366FA1">
        <w:rPr>
          <w:rFonts w:ascii="Times New Roman" w:hAnsi="Times New Roman" w:cs="Times New Roman"/>
          <w:bCs/>
          <w:noProof/>
          <w:sz w:val="24"/>
          <w:szCs w:val="24"/>
          <w:lang w:val="en-IE"/>
        </w:rPr>
        <w:t>;</w:t>
      </w:r>
    </w:p>
    <w:p w14:paraId="4B464917" w14:textId="61D028CD" w:rsidR="0078310B" w:rsidRDefault="00EA1A2E" w:rsidP="0078310B">
      <w:pPr>
        <w:numPr>
          <w:ilvl w:val="0"/>
          <w:numId w:val="20"/>
        </w:numPr>
        <w:jc w:val="both"/>
        <w:rPr>
          <w:rFonts w:ascii="Times New Roman" w:hAnsi="Times New Roman" w:cs="Times New Roman"/>
          <w:bCs/>
          <w:noProof/>
          <w:sz w:val="24"/>
          <w:szCs w:val="24"/>
          <w:lang w:val="en-IE"/>
        </w:rPr>
      </w:pPr>
      <w:r w:rsidRPr="0078310B">
        <w:rPr>
          <w:rFonts w:ascii="Times New Roman" w:hAnsi="Times New Roman" w:cs="Times New Roman"/>
          <w:bCs/>
          <w:noProof/>
          <w:sz w:val="24"/>
          <w:szCs w:val="24"/>
          <w:lang w:val="en-IE"/>
        </w:rPr>
        <w:t>strengthened</w:t>
      </w:r>
      <w:r w:rsidR="00C94D78" w:rsidRPr="0078310B">
        <w:rPr>
          <w:rFonts w:ascii="Times New Roman" w:hAnsi="Times New Roman" w:cs="Times New Roman"/>
          <w:bCs/>
          <w:noProof/>
          <w:sz w:val="24"/>
          <w:szCs w:val="24"/>
          <w:lang w:val="en-IE"/>
        </w:rPr>
        <w:t xml:space="preserve"> confiscation measure</w:t>
      </w:r>
      <w:r w:rsidR="001A411B" w:rsidRPr="0078310B">
        <w:rPr>
          <w:rFonts w:ascii="Times New Roman" w:hAnsi="Times New Roman" w:cs="Times New Roman"/>
          <w:bCs/>
          <w:noProof/>
          <w:sz w:val="24"/>
          <w:szCs w:val="24"/>
          <w:lang w:val="en-IE"/>
        </w:rPr>
        <w:t>s</w:t>
      </w:r>
      <w:r w:rsidR="0078310B">
        <w:rPr>
          <w:rFonts w:ascii="Times New Roman" w:hAnsi="Times New Roman" w:cs="Times New Roman"/>
          <w:bCs/>
          <w:noProof/>
          <w:sz w:val="24"/>
          <w:szCs w:val="24"/>
          <w:lang w:val="en-IE"/>
        </w:rPr>
        <w:t>.</w:t>
      </w:r>
    </w:p>
    <w:p w14:paraId="0413FE48" w14:textId="47A926DE" w:rsidR="00EB76F9" w:rsidRDefault="008A075E" w:rsidP="43C03A79">
      <w:pPr>
        <w:jc w:val="both"/>
        <w:rPr>
          <w:rFonts w:ascii="Times New Roman" w:hAnsi="Times New Roman" w:cs="Times New Roman"/>
          <w:noProof/>
          <w:sz w:val="24"/>
          <w:szCs w:val="24"/>
          <w:lang w:val="en-IE"/>
        </w:rPr>
      </w:pPr>
      <w:r w:rsidRPr="43C03A79">
        <w:rPr>
          <w:rFonts w:ascii="Times New Roman" w:hAnsi="Times New Roman" w:cs="Times New Roman"/>
          <w:noProof/>
          <w:sz w:val="24"/>
          <w:szCs w:val="24"/>
          <w:lang w:val="en-IE"/>
        </w:rPr>
        <w:t>At the same time, t</w:t>
      </w:r>
      <w:r w:rsidR="00E7010B" w:rsidRPr="43C03A79">
        <w:rPr>
          <w:rFonts w:ascii="Times New Roman" w:hAnsi="Times New Roman" w:cs="Times New Roman"/>
          <w:noProof/>
          <w:sz w:val="24"/>
          <w:szCs w:val="24"/>
          <w:lang w:val="en-IE"/>
        </w:rPr>
        <w:t xml:space="preserve">he Directive </w:t>
      </w:r>
      <w:r w:rsidRPr="43C03A79">
        <w:rPr>
          <w:rFonts w:ascii="Times New Roman" w:hAnsi="Times New Roman" w:cs="Times New Roman"/>
          <w:noProof/>
          <w:sz w:val="24"/>
          <w:szCs w:val="24"/>
          <w:lang w:val="en-IE"/>
        </w:rPr>
        <w:t xml:space="preserve">is </w:t>
      </w:r>
      <w:r w:rsidR="00105454">
        <w:rPr>
          <w:rFonts w:ascii="Times New Roman" w:hAnsi="Times New Roman" w:cs="Times New Roman"/>
          <w:noProof/>
          <w:sz w:val="24"/>
          <w:szCs w:val="24"/>
          <w:lang w:val="en-IE"/>
        </w:rPr>
        <w:t>being applied</w:t>
      </w:r>
      <w:r w:rsidR="00EB76F9" w:rsidRPr="43C03A79">
        <w:rPr>
          <w:rFonts w:ascii="Times New Roman" w:hAnsi="Times New Roman" w:cs="Times New Roman"/>
          <w:noProof/>
          <w:sz w:val="24"/>
          <w:szCs w:val="24"/>
          <w:lang w:val="en-IE"/>
        </w:rPr>
        <w:t xml:space="preserve"> in a context where external factors </w:t>
      </w:r>
      <w:r w:rsidR="00A80CE3" w:rsidRPr="43C03A79">
        <w:rPr>
          <w:rFonts w:ascii="Times New Roman" w:hAnsi="Times New Roman" w:cs="Times New Roman"/>
          <w:noProof/>
          <w:sz w:val="24"/>
          <w:szCs w:val="24"/>
          <w:lang w:val="en-IE"/>
        </w:rPr>
        <w:t xml:space="preserve">continue to increase the </w:t>
      </w:r>
      <w:r w:rsidR="00A35358" w:rsidRPr="43C03A79">
        <w:rPr>
          <w:rFonts w:ascii="Times New Roman" w:hAnsi="Times New Roman" w:cs="Times New Roman"/>
          <w:noProof/>
          <w:sz w:val="24"/>
          <w:szCs w:val="24"/>
          <w:lang w:val="en-IE"/>
        </w:rPr>
        <w:t xml:space="preserve">threat from money laundering to Europe’s security and </w:t>
      </w:r>
      <w:r w:rsidR="00ED1EB8" w:rsidRPr="43C03A79">
        <w:rPr>
          <w:rFonts w:ascii="Times New Roman" w:hAnsi="Times New Roman" w:cs="Times New Roman"/>
          <w:noProof/>
          <w:sz w:val="24"/>
          <w:szCs w:val="24"/>
          <w:lang w:val="en-IE"/>
        </w:rPr>
        <w:t>to the integrity of the financial system</w:t>
      </w:r>
      <w:r w:rsidR="00105454">
        <w:rPr>
          <w:rFonts w:ascii="Times New Roman" w:hAnsi="Times New Roman" w:cs="Times New Roman"/>
          <w:noProof/>
          <w:sz w:val="24"/>
          <w:szCs w:val="24"/>
          <w:lang w:val="en-IE"/>
        </w:rPr>
        <w:t>.</w:t>
      </w:r>
      <w:r w:rsidR="00105454" w:rsidRPr="43C03A79">
        <w:rPr>
          <w:rFonts w:ascii="Times New Roman" w:hAnsi="Times New Roman" w:cs="Times New Roman"/>
          <w:noProof/>
          <w:sz w:val="24"/>
          <w:szCs w:val="24"/>
          <w:lang w:val="en-IE"/>
        </w:rPr>
        <w:t xml:space="preserve"> </w:t>
      </w:r>
      <w:r w:rsidR="00105454">
        <w:rPr>
          <w:rFonts w:ascii="Times New Roman" w:hAnsi="Times New Roman" w:cs="Times New Roman"/>
          <w:noProof/>
          <w:sz w:val="24"/>
          <w:szCs w:val="24"/>
          <w:lang w:val="en-IE"/>
        </w:rPr>
        <w:t>C</w:t>
      </w:r>
      <w:r w:rsidR="009547C8" w:rsidRPr="43C03A79">
        <w:rPr>
          <w:rFonts w:ascii="Times New Roman" w:hAnsi="Times New Roman" w:cs="Times New Roman"/>
          <w:noProof/>
          <w:sz w:val="24"/>
          <w:szCs w:val="24"/>
          <w:lang w:val="en-IE"/>
        </w:rPr>
        <w:t xml:space="preserve">riminal groups </w:t>
      </w:r>
      <w:r w:rsidR="00105454">
        <w:rPr>
          <w:rFonts w:ascii="Times New Roman" w:hAnsi="Times New Roman" w:cs="Times New Roman"/>
          <w:noProof/>
          <w:sz w:val="24"/>
          <w:szCs w:val="24"/>
          <w:lang w:val="en-IE"/>
        </w:rPr>
        <w:t xml:space="preserve">are </w:t>
      </w:r>
      <w:r w:rsidR="009F5EFD" w:rsidRPr="43C03A79">
        <w:rPr>
          <w:rFonts w:ascii="Times New Roman" w:hAnsi="Times New Roman" w:cs="Times New Roman"/>
          <w:noProof/>
          <w:sz w:val="24"/>
          <w:szCs w:val="24"/>
          <w:lang w:val="en-IE"/>
        </w:rPr>
        <w:t xml:space="preserve">continuously </w:t>
      </w:r>
      <w:r w:rsidR="000D7A41" w:rsidRPr="43C03A79">
        <w:rPr>
          <w:rFonts w:ascii="Times New Roman" w:hAnsi="Times New Roman" w:cs="Times New Roman"/>
          <w:noProof/>
          <w:sz w:val="24"/>
          <w:szCs w:val="24"/>
          <w:lang w:val="en-IE"/>
        </w:rPr>
        <w:t xml:space="preserve">evolving in </w:t>
      </w:r>
      <w:r w:rsidR="009F5EFD">
        <w:rPr>
          <w:rFonts w:ascii="Times New Roman" w:hAnsi="Times New Roman" w:cs="Times New Roman"/>
          <w:noProof/>
          <w:sz w:val="24"/>
          <w:szCs w:val="24"/>
          <w:lang w:val="en-IE"/>
        </w:rPr>
        <w:t xml:space="preserve">terms of their </w:t>
      </w:r>
      <w:r w:rsidR="000D7A41" w:rsidRPr="00172619">
        <w:rPr>
          <w:rFonts w:ascii="Times New Roman" w:hAnsi="Times New Roman" w:cs="Times New Roman"/>
          <w:i/>
          <w:iCs/>
          <w:noProof/>
          <w:sz w:val="24"/>
          <w:szCs w:val="24"/>
          <w:lang w:val="en-IE"/>
        </w:rPr>
        <w:t>modi operandi</w:t>
      </w:r>
      <w:r w:rsidR="000D7A41" w:rsidRPr="43C03A79">
        <w:rPr>
          <w:rFonts w:ascii="Times New Roman" w:hAnsi="Times New Roman" w:cs="Times New Roman"/>
          <w:noProof/>
          <w:sz w:val="24"/>
          <w:szCs w:val="24"/>
          <w:lang w:val="en-IE"/>
        </w:rPr>
        <w:t xml:space="preserve"> and using new technologies, including those </w:t>
      </w:r>
      <w:r w:rsidR="00255BBD" w:rsidRPr="43C03A79">
        <w:rPr>
          <w:rFonts w:ascii="Times New Roman" w:hAnsi="Times New Roman" w:cs="Times New Roman"/>
          <w:noProof/>
          <w:sz w:val="24"/>
          <w:szCs w:val="24"/>
          <w:lang w:val="en-IE"/>
        </w:rPr>
        <w:t xml:space="preserve">emerging </w:t>
      </w:r>
      <w:r w:rsidR="000D7A41" w:rsidRPr="43C03A79">
        <w:rPr>
          <w:rFonts w:ascii="Times New Roman" w:hAnsi="Times New Roman" w:cs="Times New Roman"/>
          <w:noProof/>
          <w:sz w:val="24"/>
          <w:szCs w:val="24"/>
          <w:lang w:val="en-IE"/>
        </w:rPr>
        <w:t xml:space="preserve">in </w:t>
      </w:r>
      <w:r w:rsidR="00255BBD" w:rsidRPr="43C03A79">
        <w:rPr>
          <w:rFonts w:ascii="Times New Roman" w:hAnsi="Times New Roman" w:cs="Times New Roman"/>
          <w:noProof/>
          <w:sz w:val="24"/>
          <w:szCs w:val="24"/>
          <w:lang w:val="en-IE"/>
        </w:rPr>
        <w:t>the financial sector</w:t>
      </w:r>
      <w:r w:rsidR="0060171C" w:rsidRPr="43C03A79">
        <w:rPr>
          <w:rFonts w:ascii="Times New Roman" w:hAnsi="Times New Roman" w:cs="Times New Roman"/>
          <w:noProof/>
          <w:sz w:val="24"/>
          <w:szCs w:val="24"/>
          <w:lang w:val="en-IE"/>
        </w:rPr>
        <w:t xml:space="preserve">. </w:t>
      </w:r>
      <w:r w:rsidR="009F5EFD">
        <w:rPr>
          <w:rFonts w:ascii="Times New Roman" w:hAnsi="Times New Roman" w:cs="Times New Roman"/>
          <w:noProof/>
          <w:sz w:val="24"/>
          <w:szCs w:val="24"/>
          <w:lang w:val="en-IE"/>
        </w:rPr>
        <w:t>The Directive’s application</w:t>
      </w:r>
      <w:r w:rsidR="009F5EFD" w:rsidRPr="43C03A79">
        <w:rPr>
          <w:rFonts w:ascii="Times New Roman" w:hAnsi="Times New Roman" w:cs="Times New Roman"/>
          <w:noProof/>
          <w:sz w:val="24"/>
          <w:szCs w:val="24"/>
          <w:lang w:val="en-IE"/>
        </w:rPr>
        <w:t xml:space="preserve"> </w:t>
      </w:r>
      <w:r w:rsidRPr="43C03A79">
        <w:rPr>
          <w:rFonts w:ascii="Times New Roman" w:hAnsi="Times New Roman" w:cs="Times New Roman"/>
          <w:noProof/>
          <w:sz w:val="24"/>
          <w:szCs w:val="24"/>
          <w:lang w:val="en-IE"/>
        </w:rPr>
        <w:t>further</w:t>
      </w:r>
      <w:r w:rsidR="0060171C" w:rsidRPr="43C03A79">
        <w:rPr>
          <w:rFonts w:ascii="Times New Roman" w:hAnsi="Times New Roman" w:cs="Times New Roman"/>
          <w:noProof/>
          <w:sz w:val="24"/>
          <w:szCs w:val="24"/>
          <w:lang w:val="en-IE"/>
        </w:rPr>
        <w:t xml:space="preserve"> coincides with</w:t>
      </w:r>
      <w:r w:rsidRPr="43C03A79">
        <w:rPr>
          <w:rFonts w:ascii="Times New Roman" w:hAnsi="Times New Roman" w:cs="Times New Roman"/>
          <w:noProof/>
          <w:sz w:val="24"/>
          <w:szCs w:val="24"/>
          <w:lang w:val="en-IE"/>
        </w:rPr>
        <w:t xml:space="preserve"> </w:t>
      </w:r>
      <w:r w:rsidR="03DEB371" w:rsidRPr="43C03A79">
        <w:rPr>
          <w:rFonts w:ascii="Times New Roman" w:hAnsi="Times New Roman" w:cs="Times New Roman"/>
          <w:noProof/>
          <w:sz w:val="24"/>
          <w:szCs w:val="24"/>
          <w:lang w:val="en-IE"/>
        </w:rPr>
        <w:t>other</w:t>
      </w:r>
      <w:r w:rsidR="0060171C" w:rsidRPr="43C03A79">
        <w:rPr>
          <w:rFonts w:ascii="Times New Roman" w:hAnsi="Times New Roman" w:cs="Times New Roman"/>
          <w:noProof/>
          <w:sz w:val="24"/>
          <w:szCs w:val="24"/>
          <w:lang w:val="en-IE"/>
        </w:rPr>
        <w:t xml:space="preserve"> regulatory developments at EU level in the fight against money laundering, with the 2024 Anti-Money Laundering Package and the </w:t>
      </w:r>
      <w:r w:rsidR="008C6C79" w:rsidRPr="43C03A79">
        <w:rPr>
          <w:rFonts w:ascii="Times New Roman" w:hAnsi="Times New Roman" w:cs="Times New Roman"/>
          <w:noProof/>
          <w:sz w:val="24"/>
          <w:szCs w:val="24"/>
          <w:lang w:val="en-IE"/>
        </w:rPr>
        <w:t>Directive on asset recovery and confiscation</w:t>
      </w:r>
      <w:r w:rsidR="009F5EFD">
        <w:rPr>
          <w:rFonts w:ascii="Times New Roman" w:hAnsi="Times New Roman" w:cs="Times New Roman"/>
          <w:noProof/>
          <w:sz w:val="24"/>
          <w:szCs w:val="24"/>
          <w:lang w:val="en-IE"/>
        </w:rPr>
        <w:t xml:space="preserve">, which was also adopted in 2024, </w:t>
      </w:r>
      <w:r w:rsidR="00F10473" w:rsidRPr="43C03A79">
        <w:rPr>
          <w:rFonts w:ascii="Times New Roman" w:hAnsi="Times New Roman" w:cs="Times New Roman"/>
          <w:noProof/>
          <w:sz w:val="24"/>
          <w:szCs w:val="24"/>
          <w:lang w:val="en-IE"/>
        </w:rPr>
        <w:t>presenting significant novelties of relevance for this analysis</w:t>
      </w:r>
      <w:r w:rsidR="00255BBD" w:rsidRPr="43C03A79">
        <w:rPr>
          <w:rFonts w:ascii="Times New Roman" w:hAnsi="Times New Roman" w:cs="Times New Roman"/>
          <w:noProof/>
          <w:sz w:val="24"/>
          <w:szCs w:val="24"/>
          <w:lang w:val="en-IE"/>
        </w:rPr>
        <w:t>.</w:t>
      </w:r>
    </w:p>
    <w:p w14:paraId="320578BA" w14:textId="77777777" w:rsidR="00EB28B5" w:rsidRPr="00575CC5" w:rsidRDefault="00EB28B5" w:rsidP="43C03A79">
      <w:pPr>
        <w:jc w:val="both"/>
        <w:rPr>
          <w:rFonts w:ascii="Times New Roman" w:hAnsi="Times New Roman" w:cs="Times New Roman"/>
          <w:noProof/>
          <w:sz w:val="24"/>
          <w:szCs w:val="24"/>
          <w:lang w:val="en-IE"/>
        </w:rPr>
      </w:pPr>
    </w:p>
    <w:p w14:paraId="10CEAD38" w14:textId="51010431" w:rsidR="008530D4" w:rsidRPr="00575CC5" w:rsidRDefault="00894C2B" w:rsidP="00161031">
      <w:pPr>
        <w:ind w:left="426"/>
        <w:jc w:val="both"/>
        <w:rPr>
          <w:rFonts w:ascii="Times New Roman" w:hAnsi="Times New Roman" w:cs="Times New Roman"/>
          <w:noProof/>
          <w:szCs w:val="24"/>
        </w:rPr>
      </w:pPr>
      <w:r w:rsidRPr="00575CC5">
        <w:rPr>
          <w:rFonts w:ascii="Times New Roman" w:hAnsi="Times New Roman" w:cs="Times New Roman"/>
          <w:b/>
          <w:noProof/>
          <w:sz w:val="24"/>
          <w:szCs w:val="24"/>
          <w:lang w:val="en-IE"/>
        </w:rPr>
        <w:tab/>
      </w:r>
      <w:bookmarkStart w:id="18" w:name="_Toc42093484"/>
      <w:bookmarkStart w:id="19" w:name="_Toc42093551"/>
      <w:bookmarkStart w:id="20" w:name="_Toc42093674"/>
      <w:bookmarkStart w:id="21" w:name="_Toc42093885"/>
      <w:r w:rsidR="00951873" w:rsidRPr="00575CC5">
        <w:rPr>
          <w:rFonts w:ascii="Times New Roman" w:hAnsi="Times New Roman" w:cs="Times New Roman"/>
          <w:b/>
          <w:noProof/>
          <w:sz w:val="24"/>
          <w:szCs w:val="24"/>
        </w:rPr>
        <w:t xml:space="preserve">2.2 </w:t>
      </w:r>
      <w:r w:rsidR="00E7195F" w:rsidRPr="00575CC5">
        <w:rPr>
          <w:rFonts w:ascii="Times New Roman" w:hAnsi="Times New Roman" w:cs="Times New Roman"/>
          <w:b/>
          <w:noProof/>
          <w:sz w:val="24"/>
          <w:szCs w:val="24"/>
        </w:rPr>
        <w:t xml:space="preserve">  </w:t>
      </w:r>
      <w:r w:rsidR="00450F57" w:rsidRPr="00575CC5">
        <w:rPr>
          <w:rFonts w:ascii="Times New Roman" w:hAnsi="Times New Roman" w:cs="Times New Roman"/>
          <w:b/>
          <w:noProof/>
          <w:sz w:val="24"/>
          <w:szCs w:val="24"/>
        </w:rPr>
        <w:t>P</w:t>
      </w:r>
      <w:r w:rsidR="008530D4" w:rsidRPr="00575CC5">
        <w:rPr>
          <w:rFonts w:ascii="Times New Roman" w:hAnsi="Times New Roman" w:cs="Times New Roman"/>
          <w:b/>
          <w:noProof/>
          <w:sz w:val="24"/>
          <w:szCs w:val="24"/>
        </w:rPr>
        <w:t>oint</w:t>
      </w:r>
      <w:r w:rsidR="00450F57" w:rsidRPr="00575CC5">
        <w:rPr>
          <w:rFonts w:ascii="Times New Roman" w:hAnsi="Times New Roman" w:cs="Times New Roman"/>
          <w:b/>
          <w:noProof/>
          <w:sz w:val="24"/>
          <w:szCs w:val="24"/>
        </w:rPr>
        <w:t>(</w:t>
      </w:r>
      <w:r w:rsidR="008530D4" w:rsidRPr="00575CC5">
        <w:rPr>
          <w:rFonts w:ascii="Times New Roman" w:hAnsi="Times New Roman" w:cs="Times New Roman"/>
          <w:b/>
          <w:noProof/>
          <w:sz w:val="24"/>
          <w:szCs w:val="24"/>
        </w:rPr>
        <w:t>s</w:t>
      </w:r>
      <w:r w:rsidR="00450F57" w:rsidRPr="00575CC5">
        <w:rPr>
          <w:rFonts w:ascii="Times New Roman" w:hAnsi="Times New Roman" w:cs="Times New Roman"/>
          <w:b/>
          <w:noProof/>
          <w:sz w:val="24"/>
          <w:szCs w:val="24"/>
        </w:rPr>
        <w:t>)</w:t>
      </w:r>
      <w:r w:rsidR="008530D4" w:rsidRPr="00575CC5">
        <w:rPr>
          <w:rFonts w:ascii="Times New Roman" w:hAnsi="Times New Roman" w:cs="Times New Roman"/>
          <w:b/>
          <w:noProof/>
          <w:sz w:val="24"/>
          <w:szCs w:val="24"/>
        </w:rPr>
        <w:t xml:space="preserve"> of comparison</w:t>
      </w:r>
      <w:bookmarkEnd w:id="18"/>
      <w:bookmarkEnd w:id="19"/>
      <w:bookmarkEnd w:id="20"/>
      <w:bookmarkEnd w:id="21"/>
      <w:r w:rsidR="008530D4" w:rsidRPr="00575CC5">
        <w:rPr>
          <w:rFonts w:ascii="Times New Roman" w:hAnsi="Times New Roman" w:cs="Times New Roman"/>
          <w:b/>
          <w:noProof/>
          <w:sz w:val="24"/>
          <w:szCs w:val="24"/>
        </w:rPr>
        <w:t xml:space="preserve"> </w:t>
      </w:r>
    </w:p>
    <w:p w14:paraId="5741775A" w14:textId="3F44DD5A" w:rsidR="00C1622F" w:rsidRPr="00575CC5" w:rsidRDefault="00E44FDB" w:rsidP="00C1622F">
      <w:pPr>
        <w:jc w:val="both"/>
        <w:rPr>
          <w:rFonts w:ascii="Times New Roman" w:hAnsi="Times New Roman" w:cs="Times New Roman"/>
          <w:noProof/>
          <w:sz w:val="24"/>
          <w:szCs w:val="24"/>
          <w:lang w:val="en-IE"/>
        </w:rPr>
      </w:pPr>
      <w:r w:rsidRPr="00D103ED">
        <w:rPr>
          <w:rFonts w:ascii="Times New Roman" w:eastAsia="Calibri" w:hAnsi="Times New Roman" w:cs="Times New Roman"/>
          <w:noProof/>
          <w:sz w:val="24"/>
          <w:szCs w:val="24"/>
        </w:rPr>
        <w:t xml:space="preserve">To reconstruct the baseline scenario and the point of comparison, this </w:t>
      </w:r>
      <w:r w:rsidR="001233DC">
        <w:rPr>
          <w:rFonts w:ascii="Times New Roman" w:eastAsia="Calibri" w:hAnsi="Times New Roman" w:cs="Times New Roman"/>
          <w:noProof/>
          <w:sz w:val="24"/>
          <w:szCs w:val="24"/>
        </w:rPr>
        <w:t>e</w:t>
      </w:r>
      <w:r w:rsidRPr="00D103ED">
        <w:rPr>
          <w:rFonts w:ascii="Times New Roman" w:eastAsia="Calibri" w:hAnsi="Times New Roman" w:cs="Times New Roman"/>
          <w:noProof/>
          <w:sz w:val="24"/>
          <w:szCs w:val="24"/>
        </w:rPr>
        <w:t>valuation</w:t>
      </w:r>
      <w:r w:rsidRPr="43C03A79">
        <w:rPr>
          <w:rFonts w:ascii="Times New Roman" w:hAnsi="Times New Roman" w:cs="Times New Roman"/>
          <w:noProof/>
          <w:sz w:val="24"/>
          <w:szCs w:val="24"/>
          <w:lang w:val="en-IE"/>
        </w:rPr>
        <w:t xml:space="preserve"> </w:t>
      </w:r>
      <w:r w:rsidR="008F6223">
        <w:rPr>
          <w:rFonts w:ascii="Times New Roman" w:hAnsi="Times New Roman" w:cs="Times New Roman"/>
          <w:noProof/>
          <w:sz w:val="24"/>
          <w:szCs w:val="24"/>
          <w:lang w:val="en-IE"/>
        </w:rPr>
        <w:t xml:space="preserve">takes as </w:t>
      </w:r>
      <w:r w:rsidR="00EB6907">
        <w:rPr>
          <w:rFonts w:ascii="Times New Roman" w:hAnsi="Times New Roman" w:cs="Times New Roman"/>
          <w:noProof/>
          <w:sz w:val="24"/>
          <w:szCs w:val="24"/>
          <w:lang w:val="en-IE"/>
        </w:rPr>
        <w:t xml:space="preserve">its </w:t>
      </w:r>
      <w:r w:rsidR="006766E0">
        <w:rPr>
          <w:rFonts w:ascii="Times New Roman" w:hAnsi="Times New Roman" w:cs="Times New Roman"/>
          <w:noProof/>
          <w:sz w:val="24"/>
          <w:szCs w:val="24"/>
          <w:lang w:val="en-IE"/>
        </w:rPr>
        <w:t>point</w:t>
      </w:r>
      <w:r w:rsidR="00EB6907">
        <w:rPr>
          <w:rFonts w:ascii="Times New Roman" w:hAnsi="Times New Roman" w:cs="Times New Roman"/>
          <w:noProof/>
          <w:sz w:val="24"/>
          <w:szCs w:val="24"/>
          <w:lang w:val="en-IE"/>
        </w:rPr>
        <w:t xml:space="preserve"> of departure</w:t>
      </w:r>
      <w:r w:rsidR="00C1622F" w:rsidRPr="43C03A79">
        <w:rPr>
          <w:rFonts w:ascii="Times New Roman" w:hAnsi="Times New Roman" w:cs="Times New Roman"/>
          <w:noProof/>
          <w:sz w:val="24"/>
          <w:szCs w:val="24"/>
          <w:lang w:val="en-IE"/>
        </w:rPr>
        <w:t xml:space="preserve"> the EU legislative </w:t>
      </w:r>
      <w:r w:rsidR="00F043E7">
        <w:rPr>
          <w:rFonts w:ascii="Times New Roman" w:hAnsi="Times New Roman" w:cs="Times New Roman"/>
          <w:noProof/>
          <w:sz w:val="24"/>
          <w:szCs w:val="24"/>
          <w:lang w:val="en-IE"/>
        </w:rPr>
        <w:t>framework</w:t>
      </w:r>
      <w:r w:rsidR="00C1622F" w:rsidRPr="43C03A79">
        <w:rPr>
          <w:rFonts w:ascii="Times New Roman" w:hAnsi="Times New Roman" w:cs="Times New Roman"/>
          <w:noProof/>
          <w:sz w:val="24"/>
          <w:szCs w:val="24"/>
          <w:lang w:val="en-IE"/>
        </w:rPr>
        <w:t xml:space="preserve"> address</w:t>
      </w:r>
      <w:r w:rsidR="00F043E7">
        <w:rPr>
          <w:rFonts w:ascii="Times New Roman" w:hAnsi="Times New Roman" w:cs="Times New Roman"/>
          <w:noProof/>
          <w:sz w:val="24"/>
          <w:szCs w:val="24"/>
          <w:lang w:val="en-IE"/>
        </w:rPr>
        <w:t>ing</w:t>
      </w:r>
      <w:r w:rsidR="00C1622F" w:rsidRPr="43C03A79">
        <w:rPr>
          <w:rFonts w:ascii="Times New Roman" w:hAnsi="Times New Roman" w:cs="Times New Roman"/>
          <w:noProof/>
          <w:sz w:val="24"/>
          <w:szCs w:val="24"/>
          <w:lang w:val="en-IE"/>
        </w:rPr>
        <w:t xml:space="preserve"> the threat from money laundering activities </w:t>
      </w:r>
      <w:r w:rsidR="00610992">
        <w:rPr>
          <w:rFonts w:ascii="Times New Roman" w:hAnsi="Times New Roman" w:cs="Times New Roman"/>
          <w:noProof/>
          <w:sz w:val="24"/>
          <w:szCs w:val="24"/>
          <w:lang w:val="en-IE"/>
        </w:rPr>
        <w:t xml:space="preserve">which existed </w:t>
      </w:r>
      <w:r w:rsidR="00BE3F46" w:rsidRPr="00BE3F46">
        <w:rPr>
          <w:rFonts w:ascii="Times New Roman" w:hAnsi="Times New Roman" w:cs="Times New Roman"/>
          <w:noProof/>
          <w:sz w:val="24"/>
          <w:szCs w:val="24"/>
          <w:lang w:val="en-IE"/>
        </w:rPr>
        <w:t>at the time of</w:t>
      </w:r>
      <w:r w:rsidR="3D6D2705" w:rsidRPr="1FF693CF">
        <w:rPr>
          <w:rFonts w:ascii="Times New Roman" w:hAnsi="Times New Roman" w:cs="Times New Roman"/>
          <w:noProof/>
          <w:sz w:val="24"/>
          <w:szCs w:val="24"/>
          <w:lang w:val="en-IE"/>
        </w:rPr>
        <w:t xml:space="preserve"> the Directive’s adoption</w:t>
      </w:r>
      <w:r w:rsidR="00C1622F" w:rsidRPr="43C03A79">
        <w:rPr>
          <w:rFonts w:ascii="Times New Roman" w:hAnsi="Times New Roman" w:cs="Times New Roman"/>
          <w:noProof/>
          <w:sz w:val="24"/>
          <w:szCs w:val="24"/>
          <w:lang w:val="en-IE"/>
        </w:rPr>
        <w:t xml:space="preserve">.  </w:t>
      </w:r>
    </w:p>
    <w:p w14:paraId="19D84470" w14:textId="18173916" w:rsidR="00B85AB9" w:rsidRDefault="004576A0" w:rsidP="00C1622F">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The</w:t>
      </w:r>
      <w:r w:rsidR="004D0B96">
        <w:rPr>
          <w:rFonts w:ascii="Times New Roman" w:hAnsi="Times New Roman" w:cs="Times New Roman"/>
          <w:noProof/>
          <w:sz w:val="24"/>
          <w:szCs w:val="24"/>
          <w:lang w:val="en-IE"/>
        </w:rPr>
        <w:t xml:space="preserve"> main</w:t>
      </w:r>
      <w:r w:rsidRPr="00575CC5">
        <w:rPr>
          <w:rFonts w:ascii="Times New Roman" w:hAnsi="Times New Roman" w:cs="Times New Roman"/>
          <w:noProof/>
          <w:sz w:val="24"/>
          <w:szCs w:val="24"/>
          <w:lang w:val="en-IE"/>
        </w:rPr>
        <w:t xml:space="preserve"> </w:t>
      </w:r>
      <w:r w:rsidR="00EF4106">
        <w:rPr>
          <w:rFonts w:ascii="Times New Roman" w:hAnsi="Times New Roman" w:cs="Times New Roman"/>
          <w:noProof/>
          <w:sz w:val="24"/>
          <w:szCs w:val="24"/>
          <w:lang w:val="en-IE"/>
        </w:rPr>
        <w:t>EU</w:t>
      </w:r>
      <w:r w:rsidRPr="00575CC5">
        <w:rPr>
          <w:rFonts w:ascii="Times New Roman" w:hAnsi="Times New Roman" w:cs="Times New Roman"/>
          <w:noProof/>
          <w:sz w:val="24"/>
          <w:szCs w:val="24"/>
          <w:lang w:val="en-IE"/>
        </w:rPr>
        <w:t xml:space="preserve"> </w:t>
      </w:r>
      <w:r w:rsidR="004D0B96">
        <w:rPr>
          <w:rFonts w:ascii="Times New Roman" w:hAnsi="Times New Roman" w:cs="Times New Roman"/>
          <w:noProof/>
          <w:sz w:val="24"/>
          <w:szCs w:val="24"/>
          <w:lang w:val="en-IE"/>
        </w:rPr>
        <w:t>instrument</w:t>
      </w:r>
      <w:r w:rsidR="004D0B96" w:rsidRPr="00575CC5">
        <w:rPr>
          <w:rFonts w:ascii="Times New Roman" w:hAnsi="Times New Roman" w:cs="Times New Roman"/>
          <w:noProof/>
          <w:sz w:val="24"/>
          <w:szCs w:val="24"/>
          <w:lang w:val="en-IE"/>
        </w:rPr>
        <w:t xml:space="preserve"> </w:t>
      </w:r>
      <w:r w:rsidR="00EF4106">
        <w:rPr>
          <w:rFonts w:ascii="Times New Roman" w:hAnsi="Times New Roman" w:cs="Times New Roman"/>
          <w:noProof/>
          <w:sz w:val="24"/>
          <w:szCs w:val="24"/>
          <w:lang w:val="en-IE"/>
        </w:rPr>
        <w:t xml:space="preserve">against money laundering </w:t>
      </w:r>
      <w:r w:rsidR="004D0B96">
        <w:rPr>
          <w:rFonts w:ascii="Times New Roman" w:hAnsi="Times New Roman" w:cs="Times New Roman"/>
          <w:noProof/>
          <w:sz w:val="24"/>
          <w:szCs w:val="24"/>
          <w:lang w:val="en-IE"/>
        </w:rPr>
        <w:t xml:space="preserve">back </w:t>
      </w:r>
      <w:r w:rsidR="00164AEE">
        <w:rPr>
          <w:rFonts w:ascii="Times New Roman" w:hAnsi="Times New Roman" w:cs="Times New Roman"/>
          <w:noProof/>
          <w:sz w:val="24"/>
          <w:szCs w:val="24"/>
          <w:lang w:val="en-IE"/>
        </w:rPr>
        <w:t>in 2018 was the Fifth</w:t>
      </w:r>
      <w:r w:rsidRPr="00575CC5">
        <w:rPr>
          <w:rFonts w:ascii="Times New Roman" w:hAnsi="Times New Roman" w:cs="Times New Roman"/>
          <w:noProof/>
          <w:sz w:val="24"/>
          <w:szCs w:val="24"/>
          <w:lang w:val="en-IE"/>
        </w:rPr>
        <w:t xml:space="preserve"> Anti-Money Laundering Directive</w:t>
      </w:r>
      <w:r w:rsidRPr="00575CC5">
        <w:rPr>
          <w:rFonts w:ascii="Times New Roman" w:hAnsi="Times New Roman" w:cs="Times New Roman"/>
          <w:noProof/>
          <w:sz w:val="24"/>
          <w:szCs w:val="24"/>
          <w:vertAlign w:val="superscript"/>
        </w:rPr>
        <w:footnoteReference w:id="6"/>
      </w:r>
      <w:r w:rsidR="00560720">
        <w:rPr>
          <w:rFonts w:ascii="Times New Roman" w:hAnsi="Times New Roman" w:cs="Times New Roman"/>
          <w:noProof/>
          <w:sz w:val="24"/>
          <w:szCs w:val="24"/>
          <w:lang w:val="en-IE"/>
        </w:rPr>
        <w:t>, which established measures to prevent money laundering</w:t>
      </w:r>
      <w:r w:rsidRPr="00575CC5">
        <w:rPr>
          <w:rFonts w:ascii="Times New Roman" w:hAnsi="Times New Roman" w:cs="Times New Roman"/>
          <w:noProof/>
          <w:sz w:val="24"/>
          <w:szCs w:val="24"/>
          <w:lang w:val="en-IE"/>
        </w:rPr>
        <w:t>.</w:t>
      </w:r>
      <w:r w:rsidR="00283ECE">
        <w:rPr>
          <w:rFonts w:ascii="Times New Roman" w:hAnsi="Times New Roman" w:cs="Times New Roman"/>
          <w:noProof/>
          <w:sz w:val="24"/>
          <w:szCs w:val="24"/>
          <w:lang w:val="en-IE"/>
        </w:rPr>
        <w:t xml:space="preserve"> On the repressive side, the main rules to facilitate the prosecution of this offence </w:t>
      </w:r>
      <w:r w:rsidR="00390047">
        <w:rPr>
          <w:rFonts w:ascii="Times New Roman" w:hAnsi="Times New Roman" w:cs="Times New Roman"/>
          <w:noProof/>
          <w:sz w:val="24"/>
          <w:szCs w:val="24"/>
          <w:lang w:val="en-IE"/>
        </w:rPr>
        <w:t>were set out in</w:t>
      </w:r>
      <w:r w:rsidR="00DC57F2">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Framework Decision 2001/500/JHA on money laundering, the identification, tracing, freezing, seizing and confiscation of instrumentalities and the proceeds of crime</w:t>
      </w:r>
      <w:r w:rsidRPr="00575CC5">
        <w:rPr>
          <w:rFonts w:ascii="Times New Roman" w:hAnsi="Times New Roman" w:cs="Times New Roman"/>
          <w:noProof/>
          <w:sz w:val="24"/>
          <w:szCs w:val="24"/>
          <w:vertAlign w:val="superscript"/>
        </w:rPr>
        <w:footnoteReference w:id="7"/>
      </w:r>
      <w:r w:rsidR="00283ECE">
        <w:rPr>
          <w:rFonts w:ascii="Times New Roman" w:hAnsi="Times New Roman" w:cs="Times New Roman"/>
          <w:noProof/>
          <w:sz w:val="24"/>
          <w:szCs w:val="24"/>
        </w:rPr>
        <w:t>. However, this instrument was</w:t>
      </w:r>
      <w:r w:rsidRPr="00575CC5">
        <w:rPr>
          <w:rFonts w:ascii="Times New Roman" w:hAnsi="Times New Roman" w:cs="Times New Roman"/>
          <w:noProof/>
          <w:sz w:val="24"/>
          <w:szCs w:val="24"/>
          <w:lang w:val="en-IE"/>
        </w:rPr>
        <w:t xml:space="preserve"> limited in scope and did not ensure a comprehensive criminalisation of </w:t>
      </w:r>
      <w:r w:rsidR="00390047" w:rsidRPr="00575CC5">
        <w:rPr>
          <w:rFonts w:ascii="Times New Roman" w:hAnsi="Times New Roman" w:cs="Times New Roman"/>
          <w:noProof/>
          <w:sz w:val="24"/>
          <w:szCs w:val="24"/>
          <w:lang w:val="en-IE"/>
        </w:rPr>
        <w:t>money</w:t>
      </w:r>
      <w:r w:rsidR="00390047">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laundering offences. Although all Member States criminalised money laundering, significant differences existed. These differences concerned first and foremost the respective definitions of what constitutes money laundering, the predicate offences, as well as the level of sanctions. The former legislative framework</w:t>
      </w:r>
      <w:r w:rsidR="008A075E">
        <w:rPr>
          <w:rFonts w:ascii="Times New Roman" w:hAnsi="Times New Roman" w:cs="Times New Roman"/>
          <w:noProof/>
          <w:sz w:val="24"/>
          <w:szCs w:val="24"/>
          <w:lang w:val="en-IE"/>
        </w:rPr>
        <w:t>, before the 2018 Directive,</w:t>
      </w:r>
      <w:r w:rsidRPr="00575CC5">
        <w:rPr>
          <w:rFonts w:ascii="Times New Roman" w:hAnsi="Times New Roman" w:cs="Times New Roman"/>
          <w:noProof/>
          <w:sz w:val="24"/>
          <w:szCs w:val="24"/>
          <w:lang w:val="en-IE"/>
        </w:rPr>
        <w:t xml:space="preserve"> was neither comprehensive nor sufficiently coherent to be fully effective.</w:t>
      </w:r>
    </w:p>
    <w:p w14:paraId="0F0EC78E" w14:textId="71CE8FAE" w:rsidR="007009A7" w:rsidRPr="007009A7" w:rsidRDefault="007009A7" w:rsidP="007009A7">
      <w:pPr>
        <w:jc w:val="both"/>
        <w:rPr>
          <w:rFonts w:ascii="Times New Roman" w:hAnsi="Times New Roman" w:cs="Times New Roman"/>
          <w:noProof/>
          <w:sz w:val="24"/>
          <w:szCs w:val="24"/>
          <w:lang w:val="en-IE"/>
        </w:rPr>
      </w:pPr>
      <w:r w:rsidRPr="007009A7">
        <w:rPr>
          <w:rFonts w:ascii="Times New Roman" w:hAnsi="Times New Roman" w:cs="Times New Roman"/>
          <w:noProof/>
          <w:sz w:val="24"/>
          <w:szCs w:val="24"/>
          <w:lang w:val="en-IE"/>
        </w:rPr>
        <w:t>This situation had clear operational consequences. Differences in national laws hindered cross-border police and judicial cooperation and complicated information exchange between Financial Intelligence Units</w:t>
      </w:r>
      <w:r w:rsidR="009A39FA">
        <w:rPr>
          <w:rFonts w:ascii="Times New Roman" w:hAnsi="Times New Roman" w:cs="Times New Roman"/>
          <w:noProof/>
          <w:sz w:val="24"/>
          <w:szCs w:val="24"/>
          <w:lang w:val="en-IE"/>
        </w:rPr>
        <w:t xml:space="preserve"> (FIUs)</w:t>
      </w:r>
      <w:r w:rsidRPr="007009A7">
        <w:rPr>
          <w:rFonts w:ascii="Times New Roman" w:hAnsi="Times New Roman" w:cs="Times New Roman"/>
          <w:noProof/>
          <w:sz w:val="24"/>
          <w:szCs w:val="24"/>
          <w:lang w:val="en-IE"/>
        </w:rPr>
        <w:t>. Practitioners and EU agencies such as Europol and Eurojust reported that these inconsistencies reduced the effectiveness of investigations and prosecutions, particularly in cases involving cross-border money laundering and links to terrorist financing</w:t>
      </w:r>
      <w:r w:rsidR="00E24E90">
        <w:rPr>
          <w:rStyle w:val="FootnoteReference"/>
          <w:rFonts w:ascii="Times New Roman" w:hAnsi="Times New Roman" w:cs="Times New Roman"/>
          <w:noProof/>
          <w:szCs w:val="24"/>
          <w:lang w:val="en-IE"/>
        </w:rPr>
        <w:footnoteReference w:id="8"/>
      </w:r>
      <w:r w:rsidRPr="007009A7">
        <w:rPr>
          <w:rFonts w:ascii="Times New Roman" w:hAnsi="Times New Roman" w:cs="Times New Roman"/>
          <w:noProof/>
          <w:sz w:val="24"/>
          <w:szCs w:val="24"/>
          <w:lang w:val="en-IE"/>
        </w:rPr>
        <w:t>.</w:t>
      </w:r>
    </w:p>
    <w:p w14:paraId="450A4BAE" w14:textId="4DF5BB36" w:rsidR="007009A7" w:rsidRPr="007009A7" w:rsidRDefault="007009A7" w:rsidP="007009A7">
      <w:pPr>
        <w:jc w:val="both"/>
        <w:rPr>
          <w:rFonts w:ascii="Times New Roman" w:hAnsi="Times New Roman" w:cs="Times New Roman"/>
          <w:noProof/>
          <w:sz w:val="24"/>
          <w:szCs w:val="24"/>
          <w:lang w:val="en-IE"/>
        </w:rPr>
      </w:pPr>
      <w:r w:rsidRPr="007009A7">
        <w:rPr>
          <w:rFonts w:ascii="Times New Roman" w:hAnsi="Times New Roman" w:cs="Times New Roman"/>
          <w:noProof/>
          <w:sz w:val="24"/>
          <w:szCs w:val="24"/>
          <w:lang w:val="en-IE"/>
        </w:rPr>
        <w:t xml:space="preserve">At the same time, the scale of the problem was substantial. Criminal proceeds were estimated at around </w:t>
      </w:r>
      <w:r w:rsidR="00EF4717">
        <w:rPr>
          <w:rFonts w:ascii="Times New Roman" w:hAnsi="Times New Roman" w:cs="Times New Roman"/>
          <w:noProof/>
          <w:sz w:val="24"/>
          <w:szCs w:val="24"/>
          <w:lang w:val="en-IE"/>
        </w:rPr>
        <w:t xml:space="preserve">EUR </w:t>
      </w:r>
      <w:r w:rsidRPr="007009A7">
        <w:rPr>
          <w:rFonts w:ascii="Times New Roman" w:hAnsi="Times New Roman" w:cs="Times New Roman"/>
          <w:noProof/>
          <w:sz w:val="24"/>
          <w:szCs w:val="24"/>
          <w:lang w:val="en-IE"/>
        </w:rPr>
        <w:t>110 billion annually in the EU, while only a small share was recovered. Terrorist groups increasingly relied on criminal activities and money laundering schemes to finance their operations</w:t>
      </w:r>
      <w:r w:rsidR="00E24E90">
        <w:rPr>
          <w:rStyle w:val="FootnoteReference"/>
          <w:rFonts w:ascii="Times New Roman" w:hAnsi="Times New Roman" w:cs="Times New Roman"/>
          <w:noProof/>
          <w:szCs w:val="24"/>
          <w:lang w:val="en-IE"/>
        </w:rPr>
        <w:footnoteReference w:id="9"/>
      </w:r>
      <w:r w:rsidRPr="007009A7">
        <w:rPr>
          <w:rFonts w:ascii="Times New Roman" w:hAnsi="Times New Roman" w:cs="Times New Roman"/>
          <w:noProof/>
          <w:sz w:val="24"/>
          <w:szCs w:val="24"/>
          <w:lang w:val="en-IE"/>
        </w:rPr>
        <w:t>. Without intervention, these trends were expected to continue, reinforcing organised crime and increasing security risks.</w:t>
      </w:r>
    </w:p>
    <w:p w14:paraId="64DC9B56" w14:textId="47923A73" w:rsidR="007009A7" w:rsidRPr="00575CC5" w:rsidRDefault="007009A7" w:rsidP="00C1622F">
      <w:pPr>
        <w:jc w:val="both"/>
        <w:rPr>
          <w:rFonts w:ascii="Times New Roman" w:hAnsi="Times New Roman" w:cs="Times New Roman"/>
          <w:noProof/>
          <w:sz w:val="24"/>
          <w:szCs w:val="24"/>
          <w:lang w:val="en-IE"/>
        </w:rPr>
      </w:pPr>
      <w:r w:rsidRPr="007009A7">
        <w:rPr>
          <w:rFonts w:ascii="Times New Roman" w:hAnsi="Times New Roman" w:cs="Times New Roman"/>
          <w:noProof/>
          <w:sz w:val="24"/>
          <w:szCs w:val="24"/>
          <w:lang w:val="en-IE"/>
        </w:rPr>
        <w:t xml:space="preserve">The pre-intervention situation therefore constitutes the main point of comparison for the assessment. The intervention will be evaluated against this baseline by examining changes in the level of legal harmonisation, the effectiveness of </w:t>
      </w:r>
      <w:r w:rsidR="005A2D9F">
        <w:rPr>
          <w:rFonts w:ascii="Times New Roman" w:hAnsi="Times New Roman" w:cs="Times New Roman"/>
          <w:noProof/>
          <w:sz w:val="24"/>
          <w:szCs w:val="24"/>
          <w:lang w:val="en-IE"/>
        </w:rPr>
        <w:t xml:space="preserve">investigations, </w:t>
      </w:r>
      <w:r w:rsidRPr="007009A7">
        <w:rPr>
          <w:rFonts w:ascii="Times New Roman" w:hAnsi="Times New Roman" w:cs="Times New Roman"/>
          <w:noProof/>
          <w:sz w:val="24"/>
          <w:szCs w:val="24"/>
          <w:lang w:val="en-IE"/>
        </w:rPr>
        <w:t>cross-border cooperation and the deterrent effect of criminal sanctions.</w:t>
      </w:r>
    </w:p>
    <w:p w14:paraId="1D51C1E5" w14:textId="7392D741" w:rsidR="008530D4" w:rsidRPr="00575CC5" w:rsidRDefault="00147D71" w:rsidP="00147D71">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22" w:name="_Toc42093675"/>
      <w:bookmarkStart w:id="23" w:name="_Toc42093886"/>
      <w:bookmarkStart w:id="24" w:name="_Toc223439248"/>
      <w:r w:rsidRPr="00575CC5">
        <w:rPr>
          <w:noProof/>
          <w:szCs w:val="24"/>
        </w:rPr>
        <w:t xml:space="preserve">How has the situation evolved </w:t>
      </w:r>
      <w:r w:rsidR="009610DF" w:rsidRPr="00575CC5">
        <w:rPr>
          <w:noProof/>
          <w:szCs w:val="24"/>
        </w:rPr>
        <w:t xml:space="preserve">over </w:t>
      </w:r>
      <w:r w:rsidRPr="00575CC5">
        <w:rPr>
          <w:noProof/>
          <w:szCs w:val="24"/>
        </w:rPr>
        <w:t>the evaluation period?</w:t>
      </w:r>
      <w:bookmarkEnd w:id="22"/>
      <w:bookmarkEnd w:id="23"/>
      <w:bookmarkEnd w:id="24"/>
    </w:p>
    <w:p w14:paraId="64883958" w14:textId="3E16F070" w:rsidR="008530D4" w:rsidRPr="00575CC5" w:rsidRDefault="00C1622F" w:rsidP="008A47B8">
      <w:pPr>
        <w:pStyle w:val="Heading2"/>
        <w:tabs>
          <w:tab w:val="num" w:pos="1200"/>
        </w:tabs>
        <w:rPr>
          <w:noProof/>
          <w:szCs w:val="24"/>
        </w:rPr>
      </w:pPr>
      <w:bookmarkStart w:id="25" w:name="_Toc223439249"/>
      <w:r w:rsidRPr="00575CC5">
        <w:rPr>
          <w:noProof/>
          <w:szCs w:val="24"/>
        </w:rPr>
        <w:t>3.1 Transposition</w:t>
      </w:r>
      <w:bookmarkEnd w:id="25"/>
    </w:p>
    <w:p w14:paraId="19B91F68" w14:textId="1FC96F22" w:rsidR="00EA1CF2" w:rsidRPr="00575CC5" w:rsidRDefault="00EA1CF2" w:rsidP="00EA1CF2">
      <w:pPr>
        <w:jc w:val="both"/>
        <w:rPr>
          <w:rFonts w:ascii="Times New Roman" w:hAnsi="Times New Roman" w:cs="Times New Roman"/>
          <w:bCs/>
          <w:noProof/>
          <w:sz w:val="24"/>
          <w:szCs w:val="24"/>
        </w:rPr>
      </w:pPr>
      <w:bookmarkStart w:id="26" w:name="_Toc213782294"/>
      <w:r w:rsidRPr="00575CC5">
        <w:rPr>
          <w:rFonts w:ascii="Times New Roman" w:hAnsi="Times New Roman" w:cs="Times New Roman"/>
          <w:noProof/>
          <w:sz w:val="24"/>
          <w:szCs w:val="24"/>
        </w:rPr>
        <w:t xml:space="preserve">The deadline for Member States to formally incorporate Directive (EU) 2018/1673 into their national laws was December 2020. Only nine Member States had transposed the Directive </w:t>
      </w:r>
      <w:r w:rsidR="00C93342">
        <w:rPr>
          <w:rFonts w:ascii="Times New Roman" w:hAnsi="Times New Roman" w:cs="Times New Roman"/>
          <w:noProof/>
          <w:sz w:val="24"/>
          <w:szCs w:val="24"/>
        </w:rPr>
        <w:t>by</w:t>
      </w:r>
      <w:r w:rsidR="00C93342" w:rsidRPr="00575CC5">
        <w:rPr>
          <w:rFonts w:ascii="Times New Roman" w:hAnsi="Times New Roman" w:cs="Times New Roman"/>
          <w:noProof/>
          <w:sz w:val="24"/>
          <w:szCs w:val="24"/>
        </w:rPr>
        <w:t xml:space="preserve"> </w:t>
      </w:r>
      <w:r w:rsidRPr="00575CC5">
        <w:rPr>
          <w:rFonts w:ascii="Times New Roman" w:hAnsi="Times New Roman" w:cs="Times New Roman"/>
          <w:noProof/>
          <w:sz w:val="24"/>
          <w:szCs w:val="24"/>
        </w:rPr>
        <w:t>this deadline</w:t>
      </w:r>
      <w:r w:rsidRPr="00575CC5">
        <w:rPr>
          <w:rFonts w:ascii="Times New Roman" w:hAnsi="Times New Roman" w:cs="Times New Roman"/>
          <w:noProof/>
          <w:sz w:val="24"/>
          <w:szCs w:val="24"/>
          <w:vertAlign w:val="superscript"/>
        </w:rPr>
        <w:footnoteReference w:id="10"/>
      </w:r>
      <w:r w:rsidRPr="00575CC5">
        <w:rPr>
          <w:rFonts w:ascii="Times New Roman" w:hAnsi="Times New Roman" w:cs="Times New Roman"/>
          <w:noProof/>
          <w:sz w:val="24"/>
          <w:szCs w:val="24"/>
        </w:rPr>
        <w:t>. The degree of the delay in transposition for the remaining Member States varied to a great extent.</w:t>
      </w:r>
      <w:bookmarkEnd w:id="26"/>
      <w:r w:rsidRPr="00575CC5">
        <w:rPr>
          <w:rFonts w:ascii="Times New Roman" w:hAnsi="Times New Roman" w:cs="Times New Roman"/>
          <w:noProof/>
          <w:sz w:val="24"/>
          <w:szCs w:val="24"/>
        </w:rPr>
        <w:t xml:space="preserve"> </w:t>
      </w:r>
    </w:p>
    <w:p w14:paraId="6DF6A13C" w14:textId="671BE5A0" w:rsidR="00EA1CF2" w:rsidRPr="00575CC5" w:rsidRDefault="00EA1CF2" w:rsidP="00EA1CF2">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Most Member States adopted specific legislation to transpose the Directive. There </w:t>
      </w:r>
      <w:r w:rsidR="00390047">
        <w:rPr>
          <w:rFonts w:ascii="Times New Roman" w:hAnsi="Times New Roman" w:cs="Times New Roman"/>
          <w:noProof/>
          <w:sz w:val="24"/>
          <w:szCs w:val="24"/>
          <w:lang w:val="en-IE"/>
        </w:rPr>
        <w:t>was</w:t>
      </w:r>
      <w:r w:rsidR="00390047"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only a handful of Member States, that considered the pre-existing legislation (largely) sufficient to transpose the Directive</w:t>
      </w:r>
      <w:r w:rsidRPr="00575CC5">
        <w:rPr>
          <w:rFonts w:ascii="Times New Roman" w:hAnsi="Times New Roman" w:cs="Times New Roman"/>
          <w:noProof/>
          <w:sz w:val="24"/>
          <w:szCs w:val="24"/>
          <w:vertAlign w:val="superscript"/>
        </w:rPr>
        <w:footnoteReference w:id="11"/>
      </w:r>
      <w:r w:rsidRPr="00575CC5">
        <w:rPr>
          <w:rFonts w:ascii="Times New Roman" w:hAnsi="Times New Roman" w:cs="Times New Roman"/>
          <w:noProof/>
          <w:sz w:val="24"/>
          <w:szCs w:val="24"/>
          <w:lang w:val="en-IE"/>
        </w:rPr>
        <w:t xml:space="preserve">. Where legislation was adopted for transposing the Directive, this was primarily done via amendments to the Criminal Code and, to a lesser extent, to the Code of Criminal Procedure or other, more specific, legislation. </w:t>
      </w:r>
    </w:p>
    <w:p w14:paraId="5CD00CF5" w14:textId="3D78C85F" w:rsidR="00C1622F" w:rsidRPr="00575CC5" w:rsidRDefault="00EA1CF2" w:rsidP="00EA1CF2">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In its transposition report the Commission acknowledges the efforts made by Member States to take </w:t>
      </w:r>
      <w:r w:rsidR="007314DF">
        <w:rPr>
          <w:rFonts w:ascii="Times New Roman" w:hAnsi="Times New Roman" w:cs="Times New Roman"/>
          <w:noProof/>
          <w:sz w:val="24"/>
          <w:szCs w:val="24"/>
          <w:lang w:val="en-IE"/>
        </w:rPr>
        <w:t xml:space="preserve">comprehensive </w:t>
      </w:r>
      <w:r w:rsidRPr="00575CC5">
        <w:rPr>
          <w:rFonts w:ascii="Times New Roman" w:hAnsi="Times New Roman" w:cs="Times New Roman"/>
          <w:noProof/>
          <w:sz w:val="24"/>
          <w:szCs w:val="24"/>
          <w:lang w:val="en-IE"/>
        </w:rPr>
        <w:t xml:space="preserve">measures to </w:t>
      </w:r>
      <w:r w:rsidR="007314DF">
        <w:rPr>
          <w:rFonts w:ascii="Times New Roman" w:hAnsi="Times New Roman" w:cs="Times New Roman"/>
          <w:noProof/>
          <w:sz w:val="24"/>
          <w:szCs w:val="24"/>
          <w:lang w:val="en-IE"/>
        </w:rPr>
        <w:t>transpose</w:t>
      </w:r>
      <w:r w:rsidRPr="00575CC5">
        <w:rPr>
          <w:rFonts w:ascii="Times New Roman" w:hAnsi="Times New Roman" w:cs="Times New Roman"/>
          <w:noProof/>
          <w:sz w:val="24"/>
          <w:szCs w:val="24"/>
          <w:lang w:val="en-IE"/>
        </w:rPr>
        <w:t xml:space="preserve"> the Directive</w:t>
      </w:r>
      <w:r w:rsidR="007314DF">
        <w:rPr>
          <w:rFonts w:ascii="Times New Roman" w:hAnsi="Times New Roman" w:cs="Times New Roman"/>
          <w:noProof/>
          <w:sz w:val="24"/>
          <w:szCs w:val="24"/>
          <w:lang w:val="en-IE"/>
        </w:rPr>
        <w:t xml:space="preserve"> and</w:t>
      </w:r>
      <w:r w:rsidRPr="00575CC5">
        <w:rPr>
          <w:rFonts w:ascii="Times New Roman" w:hAnsi="Times New Roman" w:cs="Times New Roman"/>
          <w:noProof/>
          <w:sz w:val="24"/>
          <w:szCs w:val="24"/>
          <w:lang w:val="en-IE"/>
        </w:rPr>
        <w:t xml:space="preserve"> align national laws with EU standards.</w:t>
      </w:r>
      <w:r w:rsidR="00E44ED8">
        <w:rPr>
          <w:rFonts w:ascii="Times New Roman" w:hAnsi="Times New Roman" w:cs="Times New Roman"/>
          <w:noProof/>
          <w:sz w:val="24"/>
          <w:szCs w:val="24"/>
          <w:lang w:val="en-IE"/>
        </w:rPr>
        <w:t xml:space="preserve"> </w:t>
      </w:r>
      <w:r w:rsidR="00E44ED8" w:rsidRPr="00401BD1">
        <w:rPr>
          <w:rFonts w:ascii="Times New Roman" w:hAnsi="Times New Roman" w:cs="Times New Roman"/>
          <w:noProof/>
          <w:sz w:val="24"/>
          <w:szCs w:val="24"/>
          <w:lang w:val="en-IE"/>
        </w:rPr>
        <w:t xml:space="preserve">However, some gaps and inconsistencies </w:t>
      </w:r>
      <w:r w:rsidR="007558AD">
        <w:rPr>
          <w:rFonts w:ascii="Times New Roman" w:hAnsi="Times New Roman" w:cs="Times New Roman"/>
          <w:noProof/>
          <w:sz w:val="24"/>
          <w:szCs w:val="24"/>
          <w:lang w:val="en-IE"/>
        </w:rPr>
        <w:t>were</w:t>
      </w:r>
      <w:r w:rsidR="007314DF">
        <w:rPr>
          <w:rFonts w:ascii="Times New Roman" w:hAnsi="Times New Roman" w:cs="Times New Roman"/>
          <w:noProof/>
          <w:sz w:val="24"/>
          <w:szCs w:val="24"/>
          <w:lang w:val="en-IE"/>
        </w:rPr>
        <w:t xml:space="preserve"> detected and detailed in the report</w:t>
      </w:r>
      <w:r w:rsidR="007E7181" w:rsidRPr="00401BD1">
        <w:rPr>
          <w:rFonts w:ascii="Times New Roman" w:hAnsi="Times New Roman" w:cs="Times New Roman"/>
          <w:noProof/>
          <w:sz w:val="24"/>
          <w:szCs w:val="24"/>
          <w:lang w:val="en-IE"/>
        </w:rPr>
        <w:t>.</w:t>
      </w:r>
    </w:p>
    <w:p w14:paraId="4280F4E5" w14:textId="376946DB" w:rsidR="00C1622F" w:rsidRPr="00575CC5" w:rsidRDefault="00C1622F" w:rsidP="008A47B8">
      <w:pPr>
        <w:pStyle w:val="Heading2"/>
        <w:tabs>
          <w:tab w:val="num" w:pos="1200"/>
        </w:tabs>
        <w:rPr>
          <w:noProof/>
          <w:szCs w:val="24"/>
        </w:rPr>
      </w:pPr>
      <w:bookmarkStart w:id="27" w:name="_Toc223439250"/>
      <w:r w:rsidRPr="00575CC5">
        <w:rPr>
          <w:noProof/>
          <w:szCs w:val="24"/>
        </w:rPr>
        <w:t>3.2 Other developments in the field</w:t>
      </w:r>
      <w:bookmarkEnd w:id="27"/>
    </w:p>
    <w:p w14:paraId="134ED0BE" w14:textId="5DABA9BE" w:rsidR="00C93342" w:rsidRDefault="00C93342" w:rsidP="00C1622F">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parallel </w:t>
      </w:r>
      <w:r w:rsidR="005C390A">
        <w:rPr>
          <w:rFonts w:ascii="Times New Roman" w:hAnsi="Times New Roman" w:cs="Times New Roman"/>
          <w:noProof/>
          <w:sz w:val="24"/>
          <w:szCs w:val="24"/>
          <w:lang w:val="en-IE"/>
        </w:rPr>
        <w:t xml:space="preserve">with </w:t>
      </w:r>
      <w:r>
        <w:rPr>
          <w:rFonts w:ascii="Times New Roman" w:hAnsi="Times New Roman" w:cs="Times New Roman"/>
          <w:noProof/>
          <w:sz w:val="24"/>
          <w:szCs w:val="24"/>
          <w:lang w:val="en-IE"/>
        </w:rPr>
        <w:t>the application of the Directive, important changes have taken place in criminal practices, in technological advancement</w:t>
      </w:r>
      <w:r w:rsidR="00FF4757">
        <w:rPr>
          <w:rFonts w:ascii="Times New Roman" w:hAnsi="Times New Roman" w:cs="Times New Roman"/>
          <w:noProof/>
          <w:sz w:val="24"/>
          <w:szCs w:val="24"/>
          <w:lang w:val="en-IE"/>
        </w:rPr>
        <w:t>s</w:t>
      </w:r>
      <w:r>
        <w:rPr>
          <w:rFonts w:ascii="Times New Roman" w:hAnsi="Times New Roman" w:cs="Times New Roman"/>
          <w:noProof/>
          <w:sz w:val="24"/>
          <w:szCs w:val="24"/>
          <w:lang w:val="en-IE"/>
        </w:rPr>
        <w:t xml:space="preserve"> and in the overall regulatory framework.</w:t>
      </w:r>
    </w:p>
    <w:p w14:paraId="5CDE42D8" w14:textId="7D549813" w:rsidR="00D80F2F" w:rsidRPr="00575CC5" w:rsidRDefault="00C1622F" w:rsidP="00C1622F">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In recent years, money laundering practices have undergone significant developments. Criminals take advantage of the possibilities offered by technological innovation and the rise of the digital economy, </w:t>
      </w:r>
      <w:r w:rsidR="00C93342">
        <w:rPr>
          <w:rFonts w:ascii="Times New Roman" w:hAnsi="Times New Roman" w:cs="Times New Roman"/>
          <w:noProof/>
          <w:sz w:val="24"/>
          <w:szCs w:val="24"/>
          <w:lang w:val="en-IE"/>
        </w:rPr>
        <w:t>combining them with</w:t>
      </w:r>
      <w:r w:rsidRPr="00575CC5">
        <w:rPr>
          <w:rFonts w:ascii="Times New Roman" w:hAnsi="Times New Roman" w:cs="Times New Roman"/>
          <w:noProof/>
          <w:sz w:val="24"/>
          <w:szCs w:val="24"/>
          <w:lang w:val="en-IE"/>
        </w:rPr>
        <w:t xml:space="preserve"> traditional money laundering techniques</w:t>
      </w:r>
      <w:r w:rsidRPr="00575CC5">
        <w:rPr>
          <w:rFonts w:ascii="Times New Roman" w:hAnsi="Times New Roman" w:cs="Times New Roman"/>
          <w:noProof/>
          <w:sz w:val="24"/>
          <w:szCs w:val="24"/>
          <w:vertAlign w:val="superscript"/>
          <w:lang w:val="en-IE"/>
        </w:rPr>
        <w:footnoteReference w:id="12"/>
      </w:r>
      <w:r w:rsidR="00D830D2">
        <w:rPr>
          <w:rFonts w:ascii="Times New Roman" w:hAnsi="Times New Roman" w:cs="Times New Roman"/>
          <w:noProof/>
          <w:sz w:val="24"/>
          <w:szCs w:val="24"/>
          <w:lang w:val="en-IE"/>
        </w:rPr>
        <w:t>.</w:t>
      </w:r>
    </w:p>
    <w:p w14:paraId="151BA243" w14:textId="1D305B64" w:rsidR="00D80F2F" w:rsidRPr="00575CC5" w:rsidRDefault="00D80F2F" w:rsidP="00D80F2F">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Crypto-assets have opened new avenues for illicit financial flows, creating challenges for both regulators and law enforcement authorities. Europol observes that crypto-assets are increasingly misused for money laundering and terrorist financing</w:t>
      </w:r>
      <w:r w:rsidRPr="00575CC5">
        <w:rPr>
          <w:rFonts w:ascii="Times New Roman" w:hAnsi="Times New Roman" w:cs="Times New Roman"/>
          <w:noProof/>
          <w:sz w:val="24"/>
          <w:szCs w:val="24"/>
          <w:vertAlign w:val="superscript"/>
          <w:lang w:val="en-IE"/>
        </w:rPr>
        <w:footnoteReference w:id="13"/>
      </w:r>
      <w:r w:rsidR="00967273">
        <w:rPr>
          <w:rFonts w:ascii="Times New Roman" w:hAnsi="Times New Roman" w:cs="Times New Roman"/>
          <w:noProof/>
          <w:sz w:val="24"/>
          <w:szCs w:val="24"/>
          <w:lang w:val="en-IE"/>
        </w:rPr>
        <w:t>.</w:t>
      </w:r>
    </w:p>
    <w:p w14:paraId="6ED92587" w14:textId="1849B567" w:rsidR="00C93342" w:rsidRPr="00575CC5" w:rsidRDefault="00C93342" w:rsidP="00C93342">
      <w:pPr>
        <w:jc w:val="both"/>
        <w:rPr>
          <w:rFonts w:ascii="Times New Roman" w:hAnsi="Times New Roman" w:cs="Times New Roman"/>
          <w:noProof/>
          <w:sz w:val="24"/>
          <w:szCs w:val="24"/>
        </w:rPr>
      </w:pPr>
      <w:r>
        <w:rPr>
          <w:rFonts w:ascii="Times New Roman" w:hAnsi="Times New Roman" w:cs="Times New Roman"/>
          <w:noProof/>
          <w:sz w:val="24"/>
          <w:szCs w:val="24"/>
          <w:lang w:val="en-IE"/>
        </w:rPr>
        <w:t>T</w:t>
      </w:r>
      <w:r w:rsidRPr="00575CC5">
        <w:rPr>
          <w:rFonts w:ascii="Times New Roman" w:hAnsi="Times New Roman" w:cs="Times New Roman"/>
          <w:noProof/>
          <w:sz w:val="24"/>
          <w:szCs w:val="24"/>
          <w:lang w:val="en-IE"/>
        </w:rPr>
        <w:t xml:space="preserve">he constantly evolving techniques of money launderers, such as the use of decentralised finance (DeFi) platforms, crypto-asset mixers, but also the misuse of cash, high-value goods or traditional informal value transfer systems (such as </w:t>
      </w:r>
      <w:r w:rsidRPr="00575CC5">
        <w:rPr>
          <w:rFonts w:ascii="Times New Roman" w:hAnsi="Times New Roman" w:cs="Times New Roman"/>
          <w:i/>
          <w:iCs/>
          <w:noProof/>
          <w:sz w:val="24"/>
          <w:szCs w:val="24"/>
          <w:lang w:val="en-IE"/>
        </w:rPr>
        <w:t>hawala</w:t>
      </w:r>
      <w:r w:rsidRPr="00172619">
        <w:rPr>
          <w:rStyle w:val="FootnoteReference"/>
          <w:rFonts w:ascii="Times New Roman" w:hAnsi="Times New Roman" w:cs="Times New Roman"/>
          <w:noProof/>
          <w:szCs w:val="24"/>
          <w:lang w:val="en-IE"/>
        </w:rPr>
        <w:footnoteReference w:id="14"/>
      </w:r>
      <w:r w:rsidRPr="00575CC5">
        <w:rPr>
          <w:rFonts w:ascii="Times New Roman" w:hAnsi="Times New Roman" w:cs="Times New Roman"/>
          <w:noProof/>
          <w:sz w:val="24"/>
          <w:szCs w:val="24"/>
          <w:lang w:val="en-IE"/>
        </w:rPr>
        <w:t xml:space="preserve">) and the criminal infiltration into the legal economy, continue to pose significant </w:t>
      </w:r>
      <w:r>
        <w:rPr>
          <w:rFonts w:ascii="Times New Roman" w:hAnsi="Times New Roman" w:cs="Times New Roman"/>
          <w:noProof/>
          <w:sz w:val="24"/>
          <w:szCs w:val="24"/>
          <w:lang w:val="en-IE"/>
        </w:rPr>
        <w:t xml:space="preserve">and sometimes novel </w:t>
      </w:r>
      <w:r w:rsidRPr="00575CC5">
        <w:rPr>
          <w:rFonts w:ascii="Times New Roman" w:hAnsi="Times New Roman" w:cs="Times New Roman"/>
          <w:noProof/>
          <w:sz w:val="24"/>
          <w:szCs w:val="24"/>
          <w:lang w:val="en-IE"/>
        </w:rPr>
        <w:t>risks</w:t>
      </w:r>
      <w:r>
        <w:rPr>
          <w:rFonts w:ascii="Times New Roman" w:hAnsi="Times New Roman" w:cs="Times New Roman"/>
          <w:noProof/>
          <w:sz w:val="24"/>
          <w:szCs w:val="24"/>
          <w:lang w:val="en-IE"/>
        </w:rPr>
        <w:t>.</w:t>
      </w:r>
    </w:p>
    <w:p w14:paraId="02A152BC" w14:textId="081FFAB9" w:rsidR="00C93342" w:rsidRDefault="00D80F2F" w:rsidP="00C1622F">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At the same time, authorities across the EU and globally have intensified efforts to curb money laundering and tackle criminal finances. Measures </w:t>
      </w:r>
      <w:r w:rsidR="00CA7F69" w:rsidRPr="00575CC5">
        <w:rPr>
          <w:rFonts w:ascii="Times New Roman" w:hAnsi="Times New Roman" w:cs="Times New Roman"/>
          <w:noProof/>
          <w:sz w:val="24"/>
          <w:szCs w:val="24"/>
          <w:lang w:val="en-IE"/>
        </w:rPr>
        <w:t xml:space="preserve">taken after the adoption of the </w:t>
      </w:r>
      <w:r w:rsidR="00425A79">
        <w:rPr>
          <w:rFonts w:ascii="Times New Roman" w:hAnsi="Times New Roman" w:cs="Times New Roman"/>
          <w:noProof/>
          <w:sz w:val="24"/>
          <w:szCs w:val="24"/>
          <w:lang w:val="en-IE"/>
        </w:rPr>
        <w:t xml:space="preserve">Directive </w:t>
      </w:r>
      <w:r w:rsidRPr="00575CC5">
        <w:rPr>
          <w:rFonts w:ascii="Times New Roman" w:hAnsi="Times New Roman" w:cs="Times New Roman"/>
          <w:noProof/>
          <w:sz w:val="24"/>
          <w:szCs w:val="24"/>
          <w:lang w:val="en-IE"/>
        </w:rPr>
        <w:t>include establishing new supervisory frameworks</w:t>
      </w:r>
      <w:r w:rsidRPr="00575CC5">
        <w:rPr>
          <w:rFonts w:ascii="Times New Roman" w:hAnsi="Times New Roman" w:cs="Times New Roman"/>
          <w:noProof/>
          <w:sz w:val="24"/>
          <w:szCs w:val="24"/>
          <w:vertAlign w:val="superscript"/>
          <w:lang w:val="en-IE"/>
        </w:rPr>
        <w:footnoteReference w:id="15"/>
      </w:r>
      <w:r w:rsidRPr="00575CC5">
        <w:rPr>
          <w:rFonts w:ascii="Times New Roman" w:hAnsi="Times New Roman" w:cs="Times New Roman"/>
          <w:noProof/>
          <w:sz w:val="24"/>
          <w:szCs w:val="24"/>
          <w:lang w:val="en-IE"/>
        </w:rPr>
        <w:t>,</w:t>
      </w:r>
      <w:r w:rsidR="00CE78F0">
        <w:rPr>
          <w:rFonts w:ascii="Times New Roman" w:hAnsi="Times New Roman" w:cs="Times New Roman"/>
          <w:noProof/>
          <w:sz w:val="24"/>
          <w:szCs w:val="24"/>
          <w:lang w:val="en-IE"/>
        </w:rPr>
        <w:t xml:space="preserve"> </w:t>
      </w:r>
      <w:r w:rsidR="00F9451E">
        <w:rPr>
          <w:rFonts w:ascii="Times New Roman" w:hAnsi="Times New Roman" w:cs="Times New Roman"/>
          <w:noProof/>
          <w:sz w:val="24"/>
          <w:szCs w:val="24"/>
          <w:lang w:val="en-IE"/>
        </w:rPr>
        <w:t xml:space="preserve">such as </w:t>
      </w:r>
      <w:r w:rsidR="00CE78F0">
        <w:rPr>
          <w:rFonts w:ascii="Times New Roman" w:hAnsi="Times New Roman" w:cs="Times New Roman"/>
          <w:noProof/>
          <w:sz w:val="24"/>
          <w:szCs w:val="24"/>
          <w:lang w:val="en-IE"/>
        </w:rPr>
        <w:t>through the creation of an EU Anti-Money Laundering Authority</w:t>
      </w:r>
      <w:r w:rsidR="001E136A">
        <w:rPr>
          <w:rFonts w:ascii="Times New Roman" w:hAnsi="Times New Roman" w:cs="Times New Roman"/>
          <w:noProof/>
          <w:sz w:val="24"/>
          <w:szCs w:val="24"/>
          <w:lang w:val="en-IE"/>
        </w:rPr>
        <w:t>, and the</w:t>
      </w:r>
      <w:r w:rsidRPr="00575CC5">
        <w:rPr>
          <w:rFonts w:ascii="Times New Roman" w:hAnsi="Times New Roman" w:cs="Times New Roman"/>
          <w:noProof/>
          <w:sz w:val="24"/>
          <w:szCs w:val="24"/>
          <w:lang w:val="en-IE"/>
        </w:rPr>
        <w:t xml:space="preserve"> strengthening </w:t>
      </w:r>
      <w:r w:rsidR="00F1036D">
        <w:rPr>
          <w:rFonts w:ascii="Times New Roman" w:hAnsi="Times New Roman" w:cs="Times New Roman"/>
          <w:noProof/>
          <w:sz w:val="24"/>
          <w:szCs w:val="24"/>
          <w:lang w:val="en-IE"/>
        </w:rPr>
        <w:t xml:space="preserve">of the </w:t>
      </w:r>
      <w:r w:rsidRPr="00575CC5">
        <w:rPr>
          <w:rFonts w:ascii="Times New Roman" w:hAnsi="Times New Roman" w:cs="Times New Roman"/>
          <w:noProof/>
          <w:sz w:val="24"/>
          <w:szCs w:val="24"/>
          <w:lang w:val="en-IE"/>
        </w:rPr>
        <w:t>legislation on the prevention of money laundering</w:t>
      </w:r>
      <w:r w:rsidRPr="00575CC5">
        <w:rPr>
          <w:rFonts w:ascii="Times New Roman" w:hAnsi="Times New Roman" w:cs="Times New Roman"/>
          <w:noProof/>
          <w:sz w:val="24"/>
          <w:szCs w:val="24"/>
          <w:vertAlign w:val="superscript"/>
          <w:lang w:val="en-IE"/>
        </w:rPr>
        <w:footnoteReference w:id="16"/>
      </w:r>
      <w:r w:rsidRPr="00575CC5">
        <w:rPr>
          <w:rFonts w:ascii="Times New Roman" w:hAnsi="Times New Roman" w:cs="Times New Roman"/>
          <w:noProof/>
          <w:sz w:val="24"/>
          <w:szCs w:val="24"/>
          <w:lang w:val="en-IE"/>
        </w:rPr>
        <w:t>, asset recovery</w:t>
      </w:r>
      <w:r w:rsidRPr="00575CC5">
        <w:rPr>
          <w:rFonts w:ascii="Times New Roman" w:hAnsi="Times New Roman" w:cs="Times New Roman"/>
          <w:noProof/>
          <w:sz w:val="24"/>
          <w:szCs w:val="24"/>
          <w:vertAlign w:val="superscript"/>
          <w:lang w:val="en-IE"/>
        </w:rPr>
        <w:footnoteReference w:id="17"/>
      </w:r>
      <w:r w:rsidRPr="00575CC5">
        <w:rPr>
          <w:rFonts w:ascii="Times New Roman" w:hAnsi="Times New Roman" w:cs="Times New Roman"/>
          <w:noProof/>
          <w:sz w:val="24"/>
          <w:szCs w:val="24"/>
          <w:lang w:val="en-IE"/>
        </w:rPr>
        <w:t>, regulation of the crypto-asset sector</w:t>
      </w:r>
      <w:r w:rsidRPr="00575CC5">
        <w:rPr>
          <w:rFonts w:ascii="Times New Roman" w:hAnsi="Times New Roman" w:cs="Times New Roman"/>
          <w:noProof/>
          <w:sz w:val="24"/>
          <w:szCs w:val="24"/>
          <w:vertAlign w:val="superscript"/>
          <w:lang w:val="en-IE"/>
        </w:rPr>
        <w:footnoteReference w:id="18"/>
      </w:r>
      <w:r w:rsidRPr="00575CC5">
        <w:rPr>
          <w:rFonts w:ascii="Times New Roman" w:hAnsi="Times New Roman" w:cs="Times New Roman"/>
          <w:noProof/>
          <w:sz w:val="24"/>
          <w:szCs w:val="24"/>
          <w:lang w:val="en-IE"/>
        </w:rPr>
        <w:t>, or access of law enforcement to financial information</w:t>
      </w:r>
      <w:r w:rsidRPr="00575CC5">
        <w:rPr>
          <w:rFonts w:ascii="Times New Roman" w:hAnsi="Times New Roman" w:cs="Times New Roman"/>
          <w:noProof/>
          <w:sz w:val="24"/>
          <w:szCs w:val="24"/>
          <w:vertAlign w:val="superscript"/>
          <w:lang w:val="en-IE"/>
        </w:rPr>
        <w:footnoteReference w:id="19"/>
      </w:r>
      <w:r w:rsidRPr="00575CC5">
        <w:rPr>
          <w:rFonts w:ascii="Times New Roman" w:hAnsi="Times New Roman" w:cs="Times New Roman"/>
          <w:noProof/>
          <w:sz w:val="24"/>
          <w:szCs w:val="24"/>
          <w:lang w:val="en-IE"/>
        </w:rPr>
        <w:t xml:space="preserve">. There are also efforts to </w:t>
      </w:r>
      <w:r w:rsidR="00F1036D">
        <w:rPr>
          <w:rFonts w:ascii="Times New Roman" w:hAnsi="Times New Roman" w:cs="Times New Roman"/>
          <w:noProof/>
          <w:sz w:val="24"/>
          <w:szCs w:val="24"/>
          <w:lang w:val="en-IE"/>
        </w:rPr>
        <w:t xml:space="preserve">(i) </w:t>
      </w:r>
      <w:r w:rsidRPr="00575CC5">
        <w:rPr>
          <w:rFonts w:ascii="Times New Roman" w:hAnsi="Times New Roman" w:cs="Times New Roman"/>
          <w:noProof/>
          <w:sz w:val="24"/>
          <w:szCs w:val="24"/>
          <w:lang w:val="en-IE"/>
        </w:rPr>
        <w:t>establish specialised investigative units in different Member States focused on financial crime</w:t>
      </w:r>
      <w:r w:rsidR="00F1036D">
        <w:rPr>
          <w:rFonts w:ascii="Times New Roman" w:hAnsi="Times New Roman" w:cs="Times New Roman"/>
          <w:noProof/>
          <w:sz w:val="24"/>
          <w:szCs w:val="24"/>
          <w:lang w:val="en-IE"/>
        </w:rPr>
        <w:t>;</w:t>
      </w:r>
      <w:r w:rsidR="00F1036D" w:rsidRPr="00575CC5">
        <w:rPr>
          <w:rFonts w:ascii="Times New Roman" w:hAnsi="Times New Roman" w:cs="Times New Roman"/>
          <w:noProof/>
          <w:sz w:val="24"/>
          <w:szCs w:val="24"/>
          <w:lang w:val="en-IE"/>
        </w:rPr>
        <w:t xml:space="preserve"> </w:t>
      </w:r>
      <w:r w:rsidR="00294EFB">
        <w:rPr>
          <w:rFonts w:ascii="Times New Roman" w:hAnsi="Times New Roman" w:cs="Times New Roman"/>
          <w:noProof/>
          <w:sz w:val="24"/>
          <w:szCs w:val="24"/>
          <w:lang w:val="en-IE"/>
        </w:rPr>
        <w:t>(ii)</w:t>
      </w:r>
      <w:r w:rsidR="00294EFB"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foster closer cooperation between </w:t>
      </w:r>
      <w:r w:rsidR="00294EFB">
        <w:rPr>
          <w:rFonts w:ascii="Times New Roman" w:hAnsi="Times New Roman" w:cs="Times New Roman"/>
          <w:noProof/>
          <w:sz w:val="24"/>
          <w:szCs w:val="24"/>
          <w:lang w:val="en-IE"/>
        </w:rPr>
        <w:t>F</w:t>
      </w:r>
      <w:r w:rsidRPr="00575CC5">
        <w:rPr>
          <w:rFonts w:ascii="Times New Roman" w:hAnsi="Times New Roman" w:cs="Times New Roman"/>
          <w:noProof/>
          <w:sz w:val="24"/>
          <w:szCs w:val="24"/>
          <w:lang w:val="en-IE"/>
        </w:rPr>
        <w:t xml:space="preserve">inancial </w:t>
      </w:r>
      <w:r w:rsidR="00294EFB">
        <w:rPr>
          <w:rFonts w:ascii="Times New Roman" w:hAnsi="Times New Roman" w:cs="Times New Roman"/>
          <w:noProof/>
          <w:sz w:val="24"/>
          <w:szCs w:val="24"/>
          <w:lang w:val="en-IE"/>
        </w:rPr>
        <w:t>I</w:t>
      </w:r>
      <w:r w:rsidRPr="00575CC5">
        <w:rPr>
          <w:rFonts w:ascii="Times New Roman" w:hAnsi="Times New Roman" w:cs="Times New Roman"/>
          <w:noProof/>
          <w:sz w:val="24"/>
          <w:szCs w:val="24"/>
          <w:lang w:val="en-IE"/>
        </w:rPr>
        <w:t xml:space="preserve">ntelligence </w:t>
      </w:r>
      <w:r w:rsidR="00294EFB">
        <w:rPr>
          <w:rFonts w:ascii="Times New Roman" w:hAnsi="Times New Roman" w:cs="Times New Roman"/>
          <w:noProof/>
          <w:sz w:val="24"/>
          <w:szCs w:val="24"/>
          <w:lang w:val="en-IE"/>
        </w:rPr>
        <w:t>U</w:t>
      </w:r>
      <w:r w:rsidRPr="00575CC5">
        <w:rPr>
          <w:rFonts w:ascii="Times New Roman" w:hAnsi="Times New Roman" w:cs="Times New Roman"/>
          <w:noProof/>
          <w:sz w:val="24"/>
          <w:szCs w:val="24"/>
          <w:lang w:val="en-IE"/>
        </w:rPr>
        <w:t>nits (FIUs)</w:t>
      </w:r>
      <w:r w:rsidRPr="00575CC5">
        <w:rPr>
          <w:rFonts w:ascii="Times New Roman" w:hAnsi="Times New Roman" w:cs="Times New Roman"/>
          <w:noProof/>
          <w:sz w:val="24"/>
          <w:szCs w:val="24"/>
          <w:vertAlign w:val="superscript"/>
          <w:lang w:val="en-IE"/>
        </w:rPr>
        <w:footnoteReference w:id="20"/>
      </w:r>
      <w:r w:rsidRPr="00575CC5">
        <w:rPr>
          <w:rFonts w:ascii="Times New Roman" w:hAnsi="Times New Roman" w:cs="Times New Roman"/>
          <w:noProof/>
          <w:sz w:val="24"/>
          <w:szCs w:val="24"/>
          <w:lang w:val="en-IE"/>
        </w:rPr>
        <w:t xml:space="preserve"> as well as between the public and private sector</w:t>
      </w:r>
      <w:r w:rsidRPr="00575CC5">
        <w:rPr>
          <w:rFonts w:ascii="Times New Roman" w:hAnsi="Times New Roman" w:cs="Times New Roman"/>
          <w:noProof/>
          <w:sz w:val="24"/>
          <w:szCs w:val="24"/>
          <w:vertAlign w:val="superscript"/>
          <w:lang w:val="en-IE"/>
        </w:rPr>
        <w:footnoteReference w:id="21"/>
      </w:r>
      <w:r w:rsidR="00530117">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or </w:t>
      </w:r>
      <w:r w:rsidR="00530117">
        <w:rPr>
          <w:rFonts w:ascii="Times New Roman" w:hAnsi="Times New Roman" w:cs="Times New Roman"/>
          <w:noProof/>
          <w:sz w:val="24"/>
          <w:szCs w:val="24"/>
          <w:lang w:val="en-IE"/>
        </w:rPr>
        <w:t xml:space="preserve">(iii) </w:t>
      </w:r>
      <w:r w:rsidRPr="00575CC5">
        <w:rPr>
          <w:rFonts w:ascii="Times New Roman" w:hAnsi="Times New Roman" w:cs="Times New Roman"/>
          <w:noProof/>
          <w:sz w:val="24"/>
          <w:szCs w:val="24"/>
          <w:lang w:val="en-IE"/>
        </w:rPr>
        <w:t xml:space="preserve">strengthen cooperation with third countries in the fight against money laundering. </w:t>
      </w:r>
      <w:r w:rsidR="00C93342">
        <w:rPr>
          <w:rFonts w:ascii="Times New Roman" w:hAnsi="Times New Roman" w:cs="Times New Roman"/>
          <w:noProof/>
          <w:sz w:val="24"/>
          <w:szCs w:val="24"/>
          <w:lang w:val="en-IE"/>
        </w:rPr>
        <w:t xml:space="preserve">Effectively, the changing </w:t>
      </w:r>
      <w:r w:rsidR="00C93342" w:rsidRPr="00172619">
        <w:rPr>
          <w:rFonts w:ascii="Times New Roman" w:hAnsi="Times New Roman" w:cs="Times New Roman"/>
          <w:i/>
          <w:iCs/>
          <w:noProof/>
          <w:sz w:val="24"/>
          <w:szCs w:val="24"/>
          <w:lang w:val="en-IE"/>
        </w:rPr>
        <w:t>modi operandi</w:t>
      </w:r>
      <w:r w:rsidR="00C93342">
        <w:rPr>
          <w:rFonts w:ascii="Times New Roman" w:hAnsi="Times New Roman" w:cs="Times New Roman"/>
          <w:noProof/>
          <w:sz w:val="24"/>
          <w:szCs w:val="24"/>
          <w:lang w:val="en-IE"/>
        </w:rPr>
        <w:t xml:space="preserve"> of criminal networks </w:t>
      </w:r>
      <w:r w:rsidR="00C93342" w:rsidRPr="00575CC5">
        <w:rPr>
          <w:rFonts w:ascii="Times New Roman" w:hAnsi="Times New Roman" w:cs="Times New Roman"/>
          <w:noProof/>
          <w:sz w:val="24"/>
          <w:szCs w:val="24"/>
          <w:lang w:val="en-IE"/>
        </w:rPr>
        <w:t>underlin</w:t>
      </w:r>
      <w:r w:rsidR="00C93342">
        <w:rPr>
          <w:rFonts w:ascii="Times New Roman" w:hAnsi="Times New Roman" w:cs="Times New Roman"/>
          <w:noProof/>
          <w:sz w:val="24"/>
          <w:szCs w:val="24"/>
          <w:lang w:val="en-IE"/>
        </w:rPr>
        <w:t>e</w:t>
      </w:r>
      <w:r w:rsidR="00C93342" w:rsidRPr="00575CC5">
        <w:rPr>
          <w:rFonts w:ascii="Times New Roman" w:hAnsi="Times New Roman" w:cs="Times New Roman"/>
          <w:noProof/>
          <w:sz w:val="24"/>
          <w:szCs w:val="24"/>
          <w:lang w:val="en-IE"/>
        </w:rPr>
        <w:t xml:space="preserve"> the need for sustained vigilance and coordinated action</w:t>
      </w:r>
      <w:r w:rsidR="00B401C4">
        <w:rPr>
          <w:rFonts w:ascii="Times New Roman" w:hAnsi="Times New Roman" w:cs="Times New Roman"/>
          <w:noProof/>
          <w:sz w:val="24"/>
          <w:szCs w:val="24"/>
          <w:lang w:val="en-IE"/>
        </w:rPr>
        <w:t>s</w:t>
      </w:r>
      <w:r w:rsidR="00C93342" w:rsidRPr="00575CC5">
        <w:rPr>
          <w:rFonts w:ascii="Times New Roman" w:hAnsi="Times New Roman" w:cs="Times New Roman"/>
          <w:noProof/>
          <w:sz w:val="24"/>
          <w:szCs w:val="24"/>
          <w:lang w:val="en-IE"/>
        </w:rPr>
        <w:t xml:space="preserve"> between all stakeholders involved</w:t>
      </w:r>
      <w:r w:rsidR="00C93342">
        <w:rPr>
          <w:rFonts w:ascii="Times New Roman" w:hAnsi="Times New Roman" w:cs="Times New Roman"/>
          <w:noProof/>
          <w:sz w:val="24"/>
          <w:szCs w:val="24"/>
          <w:lang w:val="en-IE"/>
        </w:rPr>
        <w:t>.</w:t>
      </w:r>
    </w:p>
    <w:p w14:paraId="7D477C03" w14:textId="094386F9" w:rsidR="00147D71" w:rsidRPr="00575CC5" w:rsidRDefault="00147D71" w:rsidP="00E71F52">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28" w:name="_Toc223439251"/>
      <w:r w:rsidRPr="00575CC5">
        <w:rPr>
          <w:noProof/>
          <w:szCs w:val="24"/>
        </w:rPr>
        <w:t>Evaluation findings</w:t>
      </w:r>
      <w:r w:rsidR="007E2FCC" w:rsidRPr="00575CC5">
        <w:rPr>
          <w:noProof/>
          <w:szCs w:val="24"/>
        </w:rPr>
        <w:t xml:space="preserve"> (analytical part)</w:t>
      </w:r>
      <w:bookmarkEnd w:id="28"/>
    </w:p>
    <w:p w14:paraId="47F052A0" w14:textId="56160EEC" w:rsidR="00147D71" w:rsidRPr="00A56091" w:rsidRDefault="00147D71" w:rsidP="00B21396">
      <w:pPr>
        <w:pStyle w:val="Heading1"/>
        <w:numPr>
          <w:ilvl w:val="1"/>
          <w:numId w:val="3"/>
        </w:numPr>
        <w:rPr>
          <w:bCs/>
          <w:smallCaps w:val="0"/>
          <w:noProof/>
          <w:szCs w:val="24"/>
        </w:rPr>
      </w:pPr>
      <w:bookmarkStart w:id="29" w:name="_Toc82789914"/>
      <w:bookmarkStart w:id="30" w:name="_Toc223439252"/>
      <w:r w:rsidRPr="00A56091">
        <w:rPr>
          <w:bCs/>
          <w:smallCaps w:val="0"/>
          <w:noProof/>
          <w:szCs w:val="24"/>
        </w:rPr>
        <w:t>To what extent was the intervention successful</w:t>
      </w:r>
      <w:r w:rsidR="009610DF" w:rsidRPr="00A56091">
        <w:rPr>
          <w:bCs/>
          <w:smallCaps w:val="0"/>
          <w:noProof/>
          <w:szCs w:val="24"/>
        </w:rPr>
        <w:t xml:space="preserve"> and why</w:t>
      </w:r>
      <w:r w:rsidRPr="00A56091">
        <w:rPr>
          <w:bCs/>
          <w:smallCaps w:val="0"/>
          <w:noProof/>
          <w:szCs w:val="24"/>
        </w:rPr>
        <w:t>?</w:t>
      </w:r>
      <w:bookmarkEnd w:id="29"/>
      <w:bookmarkEnd w:id="30"/>
      <w:r w:rsidR="007E2FCC" w:rsidRPr="00A56091">
        <w:rPr>
          <w:bCs/>
          <w:smallCaps w:val="0"/>
          <w:noProof/>
          <w:szCs w:val="24"/>
        </w:rPr>
        <w:t xml:space="preserve"> </w:t>
      </w:r>
    </w:p>
    <w:p w14:paraId="32BDDF70" w14:textId="1F3A1B65" w:rsidR="00B35E49" w:rsidRDefault="00B35E49" w:rsidP="00B35E49">
      <w:pPr>
        <w:pStyle w:val="Heading3"/>
        <w:rPr>
          <w:rFonts w:ascii="Times New Roman" w:hAnsi="Times New Roman" w:cs="Times New Roman"/>
          <w:b/>
          <w:bCs/>
          <w:noProof/>
          <w:color w:val="000000" w:themeColor="text1"/>
          <w:lang w:val="en-IE"/>
        </w:rPr>
      </w:pPr>
      <w:bookmarkStart w:id="31" w:name="_Toc223439253"/>
      <w:r w:rsidRPr="00575CC5">
        <w:rPr>
          <w:rFonts w:ascii="Times New Roman" w:hAnsi="Times New Roman" w:cs="Times New Roman"/>
          <w:b/>
          <w:bCs/>
          <w:noProof/>
          <w:color w:val="000000" w:themeColor="text1"/>
          <w:lang w:val="en-IE"/>
        </w:rPr>
        <w:t>4.</w:t>
      </w:r>
      <w:r w:rsidR="00D03815">
        <w:rPr>
          <w:rFonts w:ascii="Times New Roman" w:hAnsi="Times New Roman" w:cs="Times New Roman"/>
          <w:b/>
          <w:bCs/>
          <w:noProof/>
          <w:color w:val="000000" w:themeColor="text1"/>
          <w:lang w:val="en-IE"/>
        </w:rPr>
        <w:t>1</w:t>
      </w:r>
      <w:r w:rsidRPr="00575CC5">
        <w:rPr>
          <w:rFonts w:ascii="Times New Roman" w:hAnsi="Times New Roman" w:cs="Times New Roman"/>
          <w:b/>
          <w:bCs/>
          <w:noProof/>
          <w:color w:val="000000" w:themeColor="text1"/>
          <w:lang w:val="en-IE"/>
        </w:rPr>
        <w:t>.1 Effectiveness</w:t>
      </w:r>
      <w:bookmarkEnd w:id="31"/>
    </w:p>
    <w:p w14:paraId="70F14D68" w14:textId="77777777" w:rsidR="00005FD1" w:rsidRPr="00F02686" w:rsidRDefault="00005FD1" w:rsidP="00005FD1">
      <w:pPr>
        <w:rPr>
          <w:noProof/>
          <w:color w:val="000000" w:themeColor="text1"/>
          <w:lang w:val="en-IE"/>
        </w:rPr>
      </w:pPr>
    </w:p>
    <w:tbl>
      <w:tblPr>
        <w:tblStyle w:val="TableGrid"/>
        <w:tblW w:w="0" w:type="auto"/>
        <w:tblLook w:val="04A0" w:firstRow="1" w:lastRow="0" w:firstColumn="1" w:lastColumn="0" w:noHBand="0" w:noVBand="1"/>
      </w:tblPr>
      <w:tblGrid>
        <w:gridCol w:w="8861"/>
      </w:tblGrid>
      <w:tr w:rsidR="00005FD1" w:rsidRPr="00005FD1" w14:paraId="48D83A4F" w14:textId="77777777" w:rsidTr="00005FD1">
        <w:tc>
          <w:tcPr>
            <w:tcW w:w="8861" w:type="dxa"/>
          </w:tcPr>
          <w:p w14:paraId="5B43B4AA" w14:textId="77777777" w:rsidR="00005FD1" w:rsidRDefault="00005FD1" w:rsidP="00005FD1">
            <w:pPr>
              <w:rPr>
                <w:b/>
                <w:bCs/>
                <w:noProof/>
                <w:color w:val="000000" w:themeColor="text1"/>
                <w:lang w:val="en-IE"/>
              </w:rPr>
            </w:pPr>
            <w:bookmarkStart w:id="32" w:name="_Hlk222299568"/>
            <w:r w:rsidRPr="00F02686">
              <w:rPr>
                <w:b/>
                <w:bCs/>
                <w:noProof/>
                <w:color w:val="000000" w:themeColor="text1"/>
                <w:lang w:val="en-IE"/>
              </w:rPr>
              <w:t>Main findings:</w:t>
            </w:r>
          </w:p>
          <w:p w14:paraId="57636A4F" w14:textId="686E4CB4" w:rsidR="00005FD1" w:rsidRPr="00005FD1" w:rsidRDefault="00005FD1" w:rsidP="00005FD1">
            <w:pPr>
              <w:pStyle w:val="ListParagraph"/>
              <w:numPr>
                <w:ilvl w:val="0"/>
                <w:numId w:val="57"/>
              </w:numPr>
              <w:spacing w:after="0"/>
              <w:rPr>
                <w:b/>
                <w:bCs/>
                <w:noProof/>
                <w:color w:val="000000" w:themeColor="text1"/>
                <w:sz w:val="20"/>
                <w:lang w:val="en-IE"/>
              </w:rPr>
            </w:pPr>
            <w:r w:rsidRPr="00F02686">
              <w:rPr>
                <w:noProof/>
                <w:color w:val="000000" w:themeColor="text1"/>
                <w:sz w:val="20"/>
                <w:lang w:val="en-IE"/>
              </w:rPr>
              <w:t xml:space="preserve">The </w:t>
            </w:r>
            <w:r w:rsidRPr="00F02686">
              <w:rPr>
                <w:noProof/>
                <w:sz w:val="20"/>
                <w:lang w:val="en-IE"/>
              </w:rPr>
              <w:t xml:space="preserve">Directive has </w:t>
            </w:r>
            <w:r w:rsidR="00B8005C">
              <w:rPr>
                <w:noProof/>
                <w:sz w:val="20"/>
                <w:lang w:val="en-IE"/>
              </w:rPr>
              <w:t>made</w:t>
            </w:r>
            <w:r w:rsidRPr="00F02686">
              <w:rPr>
                <w:noProof/>
                <w:sz w:val="20"/>
                <w:lang w:val="en-IE"/>
              </w:rPr>
              <w:t xml:space="preserve"> progress in </w:t>
            </w:r>
            <w:r w:rsidRPr="00F02686">
              <w:rPr>
                <w:b/>
                <w:bCs/>
                <w:noProof/>
                <w:sz w:val="20"/>
                <w:lang w:val="en-IE"/>
              </w:rPr>
              <w:t>providing a comprehensive and harmonised legal framewor</w:t>
            </w:r>
            <w:r w:rsidR="00626455" w:rsidRPr="00F02686">
              <w:rPr>
                <w:b/>
                <w:bCs/>
                <w:noProof/>
                <w:sz w:val="20"/>
                <w:lang w:val="en-IE"/>
              </w:rPr>
              <w:t>k</w:t>
            </w:r>
            <w:r w:rsidR="00626455">
              <w:rPr>
                <w:bCs/>
                <w:noProof/>
                <w:sz w:val="20"/>
                <w:lang w:val="en-IE"/>
              </w:rPr>
              <w:t xml:space="preserve">, ensuring a closer alignment of predicate offences. </w:t>
            </w:r>
            <w:r w:rsidR="00B8005C">
              <w:rPr>
                <w:bCs/>
                <w:noProof/>
                <w:sz w:val="20"/>
                <w:lang w:val="en-IE"/>
              </w:rPr>
              <w:t>However, issues remain,</w:t>
            </w:r>
            <w:r w:rsidR="00626455">
              <w:rPr>
                <w:bCs/>
                <w:noProof/>
                <w:sz w:val="20"/>
                <w:lang w:val="en-IE"/>
              </w:rPr>
              <w:t xml:space="preserve"> </w:t>
            </w:r>
            <w:r w:rsidR="00B8005C">
              <w:rPr>
                <w:bCs/>
                <w:noProof/>
                <w:sz w:val="20"/>
                <w:lang w:val="en-IE"/>
              </w:rPr>
              <w:t xml:space="preserve">particularly in relation </w:t>
            </w:r>
            <w:r w:rsidR="00626455">
              <w:rPr>
                <w:bCs/>
                <w:noProof/>
                <w:sz w:val="20"/>
                <w:lang w:val="en-IE"/>
              </w:rPr>
              <w:t>to the definition of property, the interpretation of the stand-alone money laundering, and sanctions for legal persons.</w:t>
            </w:r>
          </w:p>
          <w:p w14:paraId="07017E8B" w14:textId="499F363B" w:rsidR="00626455" w:rsidRDefault="00B8005C" w:rsidP="00005FD1">
            <w:pPr>
              <w:pStyle w:val="ListParagraph"/>
              <w:numPr>
                <w:ilvl w:val="0"/>
                <w:numId w:val="57"/>
              </w:numPr>
              <w:spacing w:after="0"/>
              <w:rPr>
                <w:noProof/>
                <w:color w:val="000000" w:themeColor="text1"/>
                <w:sz w:val="20"/>
                <w:lang w:val="en-IE"/>
              </w:rPr>
            </w:pPr>
            <w:r>
              <w:rPr>
                <w:noProof/>
                <w:color w:val="000000" w:themeColor="text1"/>
                <w:sz w:val="20"/>
                <w:lang w:val="en-IE"/>
              </w:rPr>
              <w:t>In</w:t>
            </w:r>
            <w:r w:rsidR="00EE43AE" w:rsidRPr="00F02686">
              <w:rPr>
                <w:noProof/>
                <w:color w:val="000000" w:themeColor="text1"/>
                <w:sz w:val="20"/>
                <w:lang w:val="en-IE"/>
              </w:rPr>
              <w:t xml:space="preserve"> regard to the</w:t>
            </w:r>
            <w:r w:rsidR="00EE43AE">
              <w:rPr>
                <w:b/>
                <w:bCs/>
                <w:noProof/>
                <w:color w:val="000000" w:themeColor="text1"/>
                <w:sz w:val="20"/>
                <w:lang w:val="en-IE"/>
              </w:rPr>
              <w:t xml:space="preserve"> facilitation of </w:t>
            </w:r>
            <w:r w:rsidR="00626455" w:rsidRPr="00626455">
              <w:rPr>
                <w:b/>
                <w:bCs/>
                <w:noProof/>
                <w:color w:val="000000" w:themeColor="text1"/>
                <w:sz w:val="20"/>
                <w:lang w:val="en-IE"/>
              </w:rPr>
              <w:t xml:space="preserve">investigation and prosecution </w:t>
            </w:r>
            <w:r w:rsidR="00EE43AE" w:rsidRPr="00F02686">
              <w:rPr>
                <w:noProof/>
                <w:color w:val="000000" w:themeColor="text1"/>
                <w:sz w:val="20"/>
                <w:lang w:val="en-IE"/>
              </w:rPr>
              <w:t xml:space="preserve">stakeholders have reported both improvements and ongoing challenges, as divergent interpretations and applications </w:t>
            </w:r>
            <w:r>
              <w:rPr>
                <w:noProof/>
                <w:color w:val="000000" w:themeColor="text1"/>
                <w:sz w:val="20"/>
                <w:lang w:val="en-IE"/>
              </w:rPr>
              <w:t xml:space="preserve">continue to </w:t>
            </w:r>
            <w:r w:rsidR="00EE43AE" w:rsidRPr="00F02686">
              <w:rPr>
                <w:noProof/>
                <w:color w:val="000000" w:themeColor="text1"/>
                <w:sz w:val="20"/>
                <w:lang w:val="en-IE"/>
              </w:rPr>
              <w:t xml:space="preserve">affect the Directive’s effectiveness. </w:t>
            </w:r>
          </w:p>
          <w:p w14:paraId="6C19D1B1" w14:textId="5EBF7E26" w:rsidR="00C20887" w:rsidRPr="00F02686" w:rsidRDefault="00B8005C" w:rsidP="00005FD1">
            <w:pPr>
              <w:pStyle w:val="ListParagraph"/>
              <w:numPr>
                <w:ilvl w:val="0"/>
                <w:numId w:val="57"/>
              </w:numPr>
              <w:spacing w:after="0"/>
              <w:rPr>
                <w:b/>
                <w:bCs/>
                <w:noProof/>
                <w:color w:val="000000" w:themeColor="text1"/>
                <w:sz w:val="20"/>
                <w:lang w:val="en-IE"/>
              </w:rPr>
            </w:pPr>
            <w:r>
              <w:rPr>
                <w:b/>
                <w:bCs/>
                <w:noProof/>
                <w:color w:val="000000" w:themeColor="text1"/>
                <w:sz w:val="20"/>
                <w:lang w:val="en-IE"/>
              </w:rPr>
              <w:t>In relation to</w:t>
            </w:r>
            <w:r w:rsidR="00C20887" w:rsidRPr="00F02686">
              <w:rPr>
                <w:b/>
                <w:bCs/>
                <w:noProof/>
                <w:color w:val="000000" w:themeColor="text1"/>
                <w:sz w:val="20"/>
                <w:lang w:val="en-IE"/>
              </w:rPr>
              <w:t xml:space="preserve"> the prevention of money laundering,</w:t>
            </w:r>
            <w:r w:rsidR="00C20887" w:rsidRPr="00C20887">
              <w:rPr>
                <w:noProof/>
                <w:color w:val="000000" w:themeColor="text1"/>
                <w:sz w:val="20"/>
                <w:lang w:val="en-IE"/>
              </w:rPr>
              <w:t xml:space="preserve"> responses varied: some stakeholders reported that the Directive made a significant contribution, while others noted a limited impact, as their national frameworks had already addressed money laundering</w:t>
            </w:r>
            <w:r w:rsidR="00C20887">
              <w:rPr>
                <w:noProof/>
                <w:color w:val="000000" w:themeColor="text1"/>
                <w:sz w:val="20"/>
                <w:lang w:val="en-IE"/>
              </w:rPr>
              <w:t>.</w:t>
            </w:r>
          </w:p>
          <w:p w14:paraId="2D4E9933" w14:textId="5AD6B3D3" w:rsidR="00005FD1" w:rsidRDefault="00663586" w:rsidP="00005FD1">
            <w:pPr>
              <w:pStyle w:val="ListParagraph"/>
              <w:numPr>
                <w:ilvl w:val="0"/>
                <w:numId w:val="57"/>
              </w:numPr>
              <w:spacing w:after="0"/>
              <w:rPr>
                <w:b/>
                <w:bCs/>
                <w:noProof/>
                <w:color w:val="000000" w:themeColor="text1"/>
                <w:sz w:val="20"/>
                <w:lang w:val="en-IE"/>
              </w:rPr>
            </w:pPr>
            <w:r w:rsidRPr="00F02686">
              <w:rPr>
                <w:noProof/>
                <w:color w:val="000000" w:themeColor="text1"/>
                <w:sz w:val="20"/>
                <w:lang w:val="en-IE"/>
              </w:rPr>
              <w:t>Responses generally suggest a</w:t>
            </w:r>
            <w:r>
              <w:rPr>
                <w:b/>
                <w:bCs/>
                <w:noProof/>
                <w:color w:val="000000" w:themeColor="text1"/>
                <w:sz w:val="20"/>
                <w:lang w:val="en-IE"/>
              </w:rPr>
              <w:t xml:space="preserve"> moderate</w:t>
            </w:r>
            <w:r w:rsidR="00B8005C">
              <w:rPr>
                <w:b/>
                <w:bCs/>
                <w:noProof/>
                <w:color w:val="000000" w:themeColor="text1"/>
                <w:sz w:val="20"/>
                <w:lang w:val="en-IE"/>
              </w:rPr>
              <w:t xml:space="preserve"> </w:t>
            </w:r>
            <w:r>
              <w:rPr>
                <w:b/>
                <w:bCs/>
                <w:noProof/>
                <w:color w:val="000000" w:themeColor="text1"/>
                <w:sz w:val="20"/>
                <w:lang w:val="en-IE"/>
              </w:rPr>
              <w:t>to high facilitation of cross-border cooperation.</w:t>
            </w:r>
          </w:p>
          <w:p w14:paraId="68BD7FAF" w14:textId="59519350" w:rsidR="00005FD1" w:rsidRPr="00F02686" w:rsidRDefault="00005FD1" w:rsidP="00005FD1">
            <w:pPr>
              <w:rPr>
                <w:noProof/>
                <w:color w:val="000000" w:themeColor="text1"/>
                <w:lang w:val="en-IE"/>
              </w:rPr>
            </w:pPr>
          </w:p>
        </w:tc>
      </w:tr>
    </w:tbl>
    <w:bookmarkEnd w:id="32"/>
    <w:p w14:paraId="21EB160D" w14:textId="5CAA32D9" w:rsidR="00C225D2" w:rsidRPr="00575CC5" w:rsidRDefault="00425A79" w:rsidP="00C225D2">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br/>
      </w:r>
      <w:r w:rsidR="00C225D2" w:rsidRPr="00575CC5">
        <w:rPr>
          <w:rFonts w:ascii="Times New Roman" w:hAnsi="Times New Roman" w:cs="Times New Roman"/>
          <w:noProof/>
          <w:sz w:val="24"/>
          <w:szCs w:val="24"/>
          <w:lang w:val="en-IE"/>
        </w:rPr>
        <w:t xml:space="preserve">The evaluation looks at the extent to which the instrument delivers on its intended goals and generates the expected outcomes. This entails examining its impact on the key problems it seeks to address, the level of compliance and practical implementation by Member States, and the degree to which objectives are met. </w:t>
      </w:r>
    </w:p>
    <w:p w14:paraId="5AA939B3" w14:textId="68DAA14A" w:rsidR="00887719" w:rsidRPr="00575CC5" w:rsidRDefault="00D57843" w:rsidP="00C225D2">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This section presents how th</w:t>
      </w:r>
      <w:r w:rsidR="00810BBE" w:rsidRPr="00575CC5">
        <w:rPr>
          <w:rFonts w:ascii="Times New Roman" w:hAnsi="Times New Roman" w:cs="Times New Roman"/>
          <w:noProof/>
          <w:sz w:val="24"/>
          <w:szCs w:val="24"/>
          <w:lang w:val="en-IE"/>
        </w:rPr>
        <w:t>e</w:t>
      </w:r>
      <w:r w:rsidR="00175437">
        <w:rPr>
          <w:rFonts w:ascii="Times New Roman" w:hAnsi="Times New Roman" w:cs="Times New Roman"/>
          <w:noProof/>
          <w:sz w:val="24"/>
          <w:szCs w:val="24"/>
          <w:lang w:val="en-IE"/>
        </w:rPr>
        <w:t xml:space="preserve"> </w:t>
      </w:r>
      <w:r w:rsidR="009B425E">
        <w:rPr>
          <w:rFonts w:ascii="Times New Roman" w:hAnsi="Times New Roman" w:cs="Times New Roman"/>
          <w:noProof/>
          <w:sz w:val="24"/>
          <w:szCs w:val="24"/>
          <w:lang w:val="en-IE"/>
        </w:rPr>
        <w:t>Directive has</w:t>
      </w:r>
      <w:r w:rsidR="009B425E"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brought changes into Member States’ systems and the main issues that hamper the effective application of the Directive. </w:t>
      </w:r>
      <w:r w:rsidR="00735053">
        <w:rPr>
          <w:rFonts w:ascii="Times New Roman" w:hAnsi="Times New Roman" w:cs="Times New Roman"/>
          <w:noProof/>
          <w:sz w:val="24"/>
          <w:szCs w:val="24"/>
          <w:lang w:val="en-IE"/>
        </w:rPr>
        <w:t>It further</w:t>
      </w:r>
      <w:r w:rsidRPr="00575CC5">
        <w:rPr>
          <w:rFonts w:ascii="Times New Roman" w:hAnsi="Times New Roman" w:cs="Times New Roman"/>
          <w:noProof/>
          <w:sz w:val="24"/>
          <w:szCs w:val="24"/>
          <w:lang w:val="en-IE"/>
        </w:rPr>
        <w:t xml:space="preserve"> presents </w:t>
      </w:r>
      <w:r w:rsidR="0069346E">
        <w:rPr>
          <w:rFonts w:ascii="Times New Roman" w:hAnsi="Times New Roman" w:cs="Times New Roman"/>
          <w:noProof/>
          <w:sz w:val="24"/>
          <w:szCs w:val="24"/>
          <w:lang w:val="en-IE"/>
        </w:rPr>
        <w:t xml:space="preserve">(i) </w:t>
      </w:r>
      <w:r w:rsidRPr="00575CC5">
        <w:rPr>
          <w:rFonts w:ascii="Times New Roman" w:hAnsi="Times New Roman" w:cs="Times New Roman"/>
          <w:noProof/>
          <w:sz w:val="24"/>
          <w:szCs w:val="24"/>
          <w:lang w:val="en-IE"/>
        </w:rPr>
        <w:t>an assessment of the extent to which the Directive has</w:t>
      </w:r>
      <w:r w:rsidRPr="00575CC5">
        <w:rPr>
          <w:rFonts w:ascii="Times New Roman" w:hAnsi="Times New Roman" w:cs="Times New Roman"/>
          <w:iCs/>
          <w:noProof/>
          <w:sz w:val="24"/>
          <w:szCs w:val="24"/>
          <w:lang w:val="en-IE"/>
        </w:rPr>
        <w:t xml:space="preserve"> strengthened the capacity of authorities to investigate and prosecute money laundering across the EU</w:t>
      </w:r>
      <w:r w:rsidR="00735053">
        <w:rPr>
          <w:rFonts w:ascii="Times New Roman" w:hAnsi="Times New Roman" w:cs="Times New Roman"/>
          <w:iCs/>
          <w:noProof/>
          <w:sz w:val="24"/>
          <w:szCs w:val="24"/>
          <w:lang w:val="en-IE"/>
        </w:rPr>
        <w:t xml:space="preserve"> and</w:t>
      </w:r>
      <w:r w:rsidR="0069346E">
        <w:rPr>
          <w:rFonts w:ascii="Times New Roman" w:hAnsi="Times New Roman" w:cs="Times New Roman"/>
          <w:iCs/>
          <w:noProof/>
          <w:sz w:val="24"/>
          <w:szCs w:val="24"/>
          <w:lang w:val="en-IE"/>
        </w:rPr>
        <w:t xml:space="preserve"> (ii)</w:t>
      </w:r>
      <w:r w:rsidRPr="00575CC5">
        <w:rPr>
          <w:rFonts w:ascii="Times New Roman" w:hAnsi="Times New Roman" w:cs="Times New Roman"/>
          <w:iCs/>
          <w:noProof/>
          <w:sz w:val="24"/>
          <w:szCs w:val="24"/>
          <w:lang w:val="en-IE"/>
        </w:rPr>
        <w:t xml:space="preserve"> an analysis of the effectiveness of the optional provisions and of the</w:t>
      </w:r>
      <w:r w:rsidRPr="00575CC5">
        <w:rPr>
          <w:rFonts w:ascii="Times New Roman" w:hAnsi="Times New Roman" w:cs="Times New Roman"/>
          <w:noProof/>
          <w:sz w:val="24"/>
          <w:szCs w:val="24"/>
          <w:lang w:val="en-IE"/>
        </w:rPr>
        <w:t xml:space="preserve"> impacts of the Directive on cross-border cooperation, mainly based on stakeholders’ views.</w:t>
      </w:r>
    </w:p>
    <w:p w14:paraId="6E23691E" w14:textId="79118DDE" w:rsidR="00B35E49" w:rsidRPr="00575CC5" w:rsidRDefault="00B35E49" w:rsidP="00161031">
      <w:pPr>
        <w:pStyle w:val="Heading4"/>
        <w:spacing w:before="0" w:after="200"/>
        <w:jc w:val="both"/>
        <w:rPr>
          <w:rFonts w:ascii="Times New Roman" w:hAnsi="Times New Roman" w:cs="Times New Roman"/>
          <w:b/>
          <w:bCs/>
          <w:i w:val="0"/>
          <w:iCs w:val="0"/>
          <w:noProof/>
          <w:color w:val="000000" w:themeColor="text1"/>
          <w:sz w:val="24"/>
          <w:szCs w:val="24"/>
          <w:lang w:val="en-IE"/>
        </w:rPr>
      </w:pPr>
      <w:r w:rsidRPr="00575CC5">
        <w:rPr>
          <w:rFonts w:ascii="Times New Roman" w:hAnsi="Times New Roman" w:cs="Times New Roman"/>
          <w:b/>
          <w:bCs/>
          <w:i w:val="0"/>
          <w:iCs w:val="0"/>
          <w:noProof/>
          <w:color w:val="000000" w:themeColor="text1"/>
          <w:sz w:val="24"/>
          <w:szCs w:val="24"/>
          <w:lang w:val="en-IE"/>
        </w:rPr>
        <w:t>4.</w:t>
      </w:r>
      <w:r w:rsidR="00E61BED">
        <w:rPr>
          <w:rFonts w:ascii="Times New Roman" w:hAnsi="Times New Roman" w:cs="Times New Roman"/>
          <w:b/>
          <w:bCs/>
          <w:i w:val="0"/>
          <w:iCs w:val="0"/>
          <w:noProof/>
          <w:color w:val="000000" w:themeColor="text1"/>
          <w:sz w:val="24"/>
          <w:szCs w:val="24"/>
          <w:lang w:val="en-IE"/>
        </w:rPr>
        <w:t>1</w:t>
      </w:r>
      <w:r w:rsidRPr="00575CC5">
        <w:rPr>
          <w:rFonts w:ascii="Times New Roman" w:hAnsi="Times New Roman" w:cs="Times New Roman"/>
          <w:b/>
          <w:bCs/>
          <w:i w:val="0"/>
          <w:iCs w:val="0"/>
          <w:noProof/>
          <w:color w:val="000000" w:themeColor="text1"/>
          <w:sz w:val="24"/>
          <w:szCs w:val="24"/>
          <w:lang w:val="en-IE"/>
        </w:rPr>
        <w:t>.1.1 Comprehensive and harmonised legal framework on the criminalisation of money laundering, including money laundering offences and penalties</w:t>
      </w:r>
      <w:bookmarkStart w:id="33" w:name="_Toc82789915"/>
    </w:p>
    <w:p w14:paraId="70BBC287" w14:textId="684C9B82" w:rsidR="00496E4E" w:rsidRPr="00575CC5" w:rsidRDefault="006557D0" w:rsidP="00496E4E">
      <w:pPr>
        <w:jc w:val="both"/>
        <w:rPr>
          <w:rFonts w:ascii="Times New Roman" w:hAnsi="Times New Roman" w:cs="Times New Roman"/>
          <w:noProof/>
          <w:sz w:val="24"/>
          <w:szCs w:val="24"/>
          <w:lang w:val="en-IE"/>
        </w:rPr>
      </w:pPr>
      <w:r w:rsidRPr="009A39FA">
        <w:rPr>
          <w:rFonts w:ascii="Times New Roman" w:hAnsi="Times New Roman" w:cs="Times New Roman"/>
          <w:noProof/>
          <w:sz w:val="24"/>
          <w:szCs w:val="24"/>
          <w:lang w:val="en-IE"/>
        </w:rPr>
        <w:t xml:space="preserve">The evaluation aims </w:t>
      </w:r>
      <w:r w:rsidR="0069346E">
        <w:rPr>
          <w:rFonts w:ascii="Times New Roman" w:hAnsi="Times New Roman" w:cs="Times New Roman"/>
          <w:noProof/>
          <w:sz w:val="24"/>
          <w:szCs w:val="24"/>
          <w:lang w:val="en-IE"/>
        </w:rPr>
        <w:t>to</w:t>
      </w:r>
      <w:r w:rsidR="0069346E" w:rsidRPr="009A39FA">
        <w:rPr>
          <w:rFonts w:ascii="Times New Roman" w:hAnsi="Times New Roman" w:cs="Times New Roman"/>
          <w:noProof/>
          <w:sz w:val="24"/>
          <w:szCs w:val="24"/>
          <w:lang w:val="en-IE"/>
        </w:rPr>
        <w:t xml:space="preserve"> </w:t>
      </w:r>
      <w:r w:rsidRPr="009A39FA">
        <w:rPr>
          <w:rFonts w:ascii="Times New Roman" w:hAnsi="Times New Roman" w:cs="Times New Roman"/>
          <w:noProof/>
          <w:sz w:val="24"/>
          <w:szCs w:val="24"/>
          <w:lang w:val="en-IE"/>
        </w:rPr>
        <w:t>answe</w:t>
      </w:r>
      <w:r w:rsidR="0069346E">
        <w:rPr>
          <w:rFonts w:ascii="Times New Roman" w:hAnsi="Times New Roman" w:cs="Times New Roman"/>
          <w:noProof/>
          <w:sz w:val="24"/>
          <w:szCs w:val="24"/>
          <w:lang w:val="en-IE"/>
        </w:rPr>
        <w:t>r</w:t>
      </w:r>
      <w:r w:rsidRPr="009A39FA">
        <w:rPr>
          <w:rFonts w:ascii="Times New Roman" w:hAnsi="Times New Roman" w:cs="Times New Roman"/>
          <w:noProof/>
          <w:sz w:val="24"/>
          <w:szCs w:val="24"/>
          <w:lang w:val="en-IE"/>
        </w:rPr>
        <w:t xml:space="preserve"> the </w:t>
      </w:r>
      <w:r w:rsidR="00F13EF0" w:rsidRPr="009A39FA">
        <w:rPr>
          <w:rFonts w:ascii="Times New Roman" w:hAnsi="Times New Roman" w:cs="Times New Roman"/>
          <w:noProof/>
          <w:sz w:val="24"/>
          <w:szCs w:val="24"/>
          <w:lang w:val="en-IE"/>
        </w:rPr>
        <w:t>question</w:t>
      </w:r>
      <w:r w:rsidRPr="009A39FA">
        <w:rPr>
          <w:rFonts w:ascii="Times New Roman" w:hAnsi="Times New Roman" w:cs="Times New Roman"/>
          <w:noProof/>
          <w:sz w:val="24"/>
          <w:szCs w:val="24"/>
          <w:lang w:val="en-IE"/>
        </w:rPr>
        <w:t xml:space="preserve"> of whether </w:t>
      </w:r>
      <w:r w:rsidR="00175437" w:rsidRPr="009A39FA">
        <w:rPr>
          <w:rFonts w:ascii="Times New Roman" w:hAnsi="Times New Roman" w:cs="Times New Roman"/>
          <w:noProof/>
          <w:sz w:val="24"/>
          <w:szCs w:val="24"/>
          <w:lang w:val="en-IE"/>
        </w:rPr>
        <w:t xml:space="preserve">the Directive’s goals </w:t>
      </w:r>
      <w:r w:rsidR="0069346E">
        <w:rPr>
          <w:rFonts w:ascii="Times New Roman" w:hAnsi="Times New Roman" w:cs="Times New Roman"/>
          <w:noProof/>
          <w:sz w:val="24"/>
          <w:szCs w:val="24"/>
          <w:lang w:val="en-IE"/>
        </w:rPr>
        <w:t>of</w:t>
      </w:r>
      <w:r w:rsidR="0069346E" w:rsidRPr="009A39FA">
        <w:rPr>
          <w:rFonts w:ascii="Times New Roman" w:hAnsi="Times New Roman" w:cs="Times New Roman"/>
          <w:noProof/>
          <w:sz w:val="24"/>
          <w:szCs w:val="24"/>
          <w:lang w:val="en-IE"/>
        </w:rPr>
        <w:t xml:space="preserve"> </w:t>
      </w:r>
      <w:r w:rsidR="00175437" w:rsidRPr="009A39FA">
        <w:rPr>
          <w:rFonts w:ascii="Times New Roman" w:hAnsi="Times New Roman" w:cs="Times New Roman"/>
          <w:noProof/>
          <w:sz w:val="24"/>
          <w:szCs w:val="24"/>
          <w:lang w:val="en-IE"/>
        </w:rPr>
        <w:t>ensur</w:t>
      </w:r>
      <w:r w:rsidR="0069346E">
        <w:rPr>
          <w:rFonts w:ascii="Times New Roman" w:hAnsi="Times New Roman" w:cs="Times New Roman"/>
          <w:noProof/>
          <w:sz w:val="24"/>
          <w:szCs w:val="24"/>
          <w:lang w:val="en-IE"/>
        </w:rPr>
        <w:t>ing</w:t>
      </w:r>
      <w:r w:rsidR="00175437" w:rsidRPr="009A39FA">
        <w:rPr>
          <w:rFonts w:ascii="Times New Roman" w:hAnsi="Times New Roman" w:cs="Times New Roman"/>
          <w:noProof/>
          <w:sz w:val="24"/>
          <w:szCs w:val="24"/>
          <w:lang w:val="en-IE"/>
        </w:rPr>
        <w:t xml:space="preserve"> a sufficient degree of harmonisation of money</w:t>
      </w:r>
      <w:r w:rsidR="008717DC">
        <w:rPr>
          <w:rFonts w:ascii="Times New Roman" w:hAnsi="Times New Roman" w:cs="Times New Roman"/>
          <w:noProof/>
          <w:sz w:val="24"/>
          <w:szCs w:val="24"/>
          <w:lang w:val="en-IE"/>
        </w:rPr>
        <w:t xml:space="preserve"> </w:t>
      </w:r>
      <w:r w:rsidR="00E464BA" w:rsidRPr="009A39FA">
        <w:rPr>
          <w:rFonts w:ascii="Times New Roman" w:hAnsi="Times New Roman" w:cs="Times New Roman"/>
          <w:noProof/>
          <w:sz w:val="24"/>
          <w:szCs w:val="24"/>
          <w:lang w:val="en-IE"/>
        </w:rPr>
        <w:t>laundering</w:t>
      </w:r>
      <w:r w:rsidR="00E464BA">
        <w:rPr>
          <w:rFonts w:ascii="Times New Roman" w:hAnsi="Times New Roman" w:cs="Times New Roman"/>
          <w:noProof/>
          <w:sz w:val="24"/>
          <w:szCs w:val="24"/>
          <w:lang w:val="en-IE"/>
        </w:rPr>
        <w:t xml:space="preserve"> </w:t>
      </w:r>
      <w:r w:rsidR="00175437" w:rsidRPr="009A39FA">
        <w:rPr>
          <w:rFonts w:ascii="Times New Roman" w:hAnsi="Times New Roman" w:cs="Times New Roman"/>
          <w:noProof/>
          <w:sz w:val="24"/>
          <w:szCs w:val="24"/>
          <w:lang w:val="en-IE"/>
        </w:rPr>
        <w:t xml:space="preserve">offences and related penalties </w:t>
      </w:r>
      <w:r w:rsidR="0027578E" w:rsidRPr="009A39FA">
        <w:rPr>
          <w:rFonts w:ascii="Times New Roman" w:hAnsi="Times New Roman" w:cs="Times New Roman"/>
          <w:noProof/>
          <w:sz w:val="24"/>
          <w:szCs w:val="24"/>
          <w:lang w:val="en-IE"/>
        </w:rPr>
        <w:t xml:space="preserve">have </w:t>
      </w:r>
      <w:r w:rsidR="00175437" w:rsidRPr="009A39FA">
        <w:rPr>
          <w:rFonts w:ascii="Times New Roman" w:hAnsi="Times New Roman" w:cs="Times New Roman"/>
          <w:noProof/>
          <w:sz w:val="24"/>
          <w:szCs w:val="24"/>
          <w:lang w:val="en-IE"/>
        </w:rPr>
        <w:t>been achieved</w:t>
      </w:r>
      <w:r w:rsidR="0027578E" w:rsidRPr="009A39FA">
        <w:rPr>
          <w:rFonts w:ascii="Times New Roman" w:hAnsi="Times New Roman" w:cs="Times New Roman"/>
          <w:noProof/>
          <w:sz w:val="24"/>
          <w:szCs w:val="24"/>
          <w:lang w:val="en-IE"/>
        </w:rPr>
        <w:t xml:space="preserve">. In this regard, </w:t>
      </w:r>
      <w:r w:rsidR="0027578E">
        <w:rPr>
          <w:rFonts w:ascii="Times New Roman" w:hAnsi="Times New Roman" w:cs="Times New Roman"/>
          <w:noProof/>
          <w:sz w:val="24"/>
          <w:szCs w:val="24"/>
          <w:lang w:val="en-IE"/>
        </w:rPr>
        <w:t>t</w:t>
      </w:r>
      <w:r w:rsidR="00496E4E" w:rsidRPr="00575CC5">
        <w:rPr>
          <w:rFonts w:ascii="Times New Roman" w:hAnsi="Times New Roman" w:cs="Times New Roman"/>
          <w:noProof/>
          <w:sz w:val="24"/>
          <w:szCs w:val="24"/>
          <w:lang w:val="en-IE"/>
        </w:rPr>
        <w:t xml:space="preserve">he evaluation finds that the Directive has achieved progress in providing for a comprehensive and </w:t>
      </w:r>
      <w:r w:rsidR="00496E4E" w:rsidRPr="00575CC5">
        <w:rPr>
          <w:rFonts w:ascii="Times New Roman" w:hAnsi="Times New Roman" w:cs="Times New Roman"/>
          <w:b/>
          <w:noProof/>
          <w:sz w:val="24"/>
          <w:szCs w:val="24"/>
          <w:lang w:val="en-IE"/>
        </w:rPr>
        <w:t xml:space="preserve">harmonised legal framework </w:t>
      </w:r>
      <w:r w:rsidR="00E464BA" w:rsidRPr="00575CC5">
        <w:rPr>
          <w:rFonts w:ascii="Times New Roman" w:hAnsi="Times New Roman" w:cs="Times New Roman"/>
          <w:b/>
          <w:noProof/>
          <w:sz w:val="24"/>
          <w:szCs w:val="24"/>
          <w:lang w:val="en-IE"/>
        </w:rPr>
        <w:t>o</w:t>
      </w:r>
      <w:r w:rsidR="00E464BA">
        <w:rPr>
          <w:rFonts w:ascii="Times New Roman" w:hAnsi="Times New Roman" w:cs="Times New Roman"/>
          <w:b/>
          <w:noProof/>
          <w:sz w:val="24"/>
          <w:szCs w:val="24"/>
          <w:lang w:val="en-IE"/>
        </w:rPr>
        <w:t>n</w:t>
      </w:r>
      <w:r w:rsidR="00E464BA" w:rsidRPr="00575CC5">
        <w:rPr>
          <w:rFonts w:ascii="Times New Roman" w:hAnsi="Times New Roman" w:cs="Times New Roman"/>
          <w:b/>
          <w:noProof/>
          <w:sz w:val="24"/>
          <w:szCs w:val="24"/>
          <w:lang w:val="en-IE"/>
        </w:rPr>
        <w:t xml:space="preserve"> </w:t>
      </w:r>
      <w:r w:rsidR="00496E4E" w:rsidRPr="00575CC5">
        <w:rPr>
          <w:rFonts w:ascii="Times New Roman" w:hAnsi="Times New Roman" w:cs="Times New Roman"/>
          <w:b/>
          <w:noProof/>
          <w:sz w:val="24"/>
          <w:szCs w:val="24"/>
          <w:lang w:val="en-IE"/>
        </w:rPr>
        <w:t xml:space="preserve">money laundering, including its offences and related penalties </w:t>
      </w:r>
      <w:r w:rsidR="00496E4E" w:rsidRPr="00575CC5">
        <w:rPr>
          <w:rFonts w:ascii="Times New Roman" w:hAnsi="Times New Roman" w:cs="Times New Roman"/>
          <w:noProof/>
          <w:sz w:val="24"/>
          <w:szCs w:val="24"/>
          <w:lang w:val="en-IE"/>
        </w:rPr>
        <w:t xml:space="preserve">across Member States. </w:t>
      </w:r>
    </w:p>
    <w:p w14:paraId="4681AFBD" w14:textId="5B991F7B" w:rsidR="00F94BA3" w:rsidRDefault="00214493" w:rsidP="00214493">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As described in the above </w:t>
      </w:r>
      <w:r w:rsidR="00E464BA">
        <w:rPr>
          <w:rFonts w:ascii="Times New Roman" w:hAnsi="Times New Roman" w:cs="Times New Roman"/>
          <w:noProof/>
          <w:sz w:val="24"/>
          <w:szCs w:val="24"/>
          <w:lang w:val="en-IE"/>
        </w:rPr>
        <w:t>S</w:t>
      </w:r>
      <w:r w:rsidRPr="00575CC5">
        <w:rPr>
          <w:rFonts w:ascii="Times New Roman" w:hAnsi="Times New Roman" w:cs="Times New Roman"/>
          <w:noProof/>
          <w:sz w:val="24"/>
          <w:szCs w:val="24"/>
          <w:lang w:val="en-IE"/>
        </w:rPr>
        <w:t xml:space="preserve">ection 3.1 on transposition and in the transposition report, most Member States </w:t>
      </w:r>
      <w:r w:rsidR="00C10AD0" w:rsidRPr="00575CC5">
        <w:rPr>
          <w:rFonts w:ascii="Times New Roman" w:hAnsi="Times New Roman" w:cs="Times New Roman"/>
          <w:noProof/>
          <w:sz w:val="24"/>
          <w:szCs w:val="24"/>
          <w:lang w:val="en-IE"/>
        </w:rPr>
        <w:t xml:space="preserve">have </w:t>
      </w:r>
      <w:r w:rsidR="00B8005C">
        <w:rPr>
          <w:rFonts w:ascii="Times New Roman" w:hAnsi="Times New Roman" w:cs="Times New Roman"/>
          <w:noProof/>
          <w:sz w:val="24"/>
          <w:szCs w:val="24"/>
          <w:lang w:val="en-IE"/>
        </w:rPr>
        <w:t>fully transposed</w:t>
      </w:r>
      <w:r w:rsidR="00B8005C"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with the Directive and included similar definitions of offences (including self-laundering) and penalties as well as aggravating circumstances in their national legislation. </w:t>
      </w:r>
    </w:p>
    <w:p w14:paraId="7E742693" w14:textId="78757174" w:rsidR="00FA648A" w:rsidRDefault="00FA648A" w:rsidP="00A56091">
      <w:pPr>
        <w:spacing w:after="0"/>
        <w:ind w:right="-3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w:t>
      </w:r>
      <w:r w:rsidRPr="005C65EE">
        <w:rPr>
          <w:rFonts w:ascii="Times New Roman" w:eastAsia="Calibri" w:hAnsi="Times New Roman" w:cs="Times New Roman"/>
          <w:noProof/>
          <w:sz w:val="24"/>
          <w:szCs w:val="24"/>
        </w:rPr>
        <w:t xml:space="preserve">takeholders consulted in the context of the </w:t>
      </w:r>
      <w:r w:rsidR="007E1256">
        <w:rPr>
          <w:rFonts w:ascii="Times New Roman" w:eastAsia="Calibri" w:hAnsi="Times New Roman" w:cs="Times New Roman"/>
          <w:noProof/>
          <w:sz w:val="24"/>
          <w:szCs w:val="24"/>
        </w:rPr>
        <w:t>supporting</w:t>
      </w:r>
      <w:r w:rsidRPr="005C65EE">
        <w:rPr>
          <w:rFonts w:ascii="Times New Roman" w:eastAsia="Calibri" w:hAnsi="Times New Roman" w:cs="Times New Roman"/>
          <w:noProof/>
          <w:sz w:val="24"/>
          <w:szCs w:val="24"/>
        </w:rPr>
        <w:t xml:space="preserve"> study </w:t>
      </w:r>
      <w:r w:rsidR="00E464BA">
        <w:rPr>
          <w:rFonts w:ascii="Times New Roman" w:eastAsia="Calibri" w:hAnsi="Times New Roman" w:cs="Times New Roman"/>
          <w:noProof/>
          <w:sz w:val="24"/>
          <w:szCs w:val="24"/>
        </w:rPr>
        <w:t xml:space="preserve">accompanying </w:t>
      </w:r>
      <w:r w:rsidR="007E1256">
        <w:rPr>
          <w:rFonts w:ascii="Times New Roman" w:eastAsia="Calibri" w:hAnsi="Times New Roman" w:cs="Times New Roman"/>
          <w:noProof/>
          <w:sz w:val="24"/>
          <w:szCs w:val="24"/>
        </w:rPr>
        <w:t>the evaluation</w:t>
      </w:r>
      <w:r>
        <w:rPr>
          <w:rFonts w:ascii="Times New Roman" w:eastAsia="Calibri" w:hAnsi="Times New Roman" w:cs="Times New Roman"/>
          <w:noProof/>
          <w:sz w:val="24"/>
          <w:szCs w:val="24"/>
        </w:rPr>
        <w:t xml:space="preserve">, </w:t>
      </w:r>
      <w:r w:rsidR="00735053">
        <w:rPr>
          <w:rFonts w:ascii="Times New Roman" w:eastAsia="Calibri" w:hAnsi="Times New Roman" w:cs="Times New Roman"/>
          <w:noProof/>
          <w:sz w:val="24"/>
          <w:szCs w:val="24"/>
        </w:rPr>
        <w:t>including</w:t>
      </w:r>
      <w:r>
        <w:rPr>
          <w:rFonts w:ascii="Times New Roman" w:eastAsia="Calibri" w:hAnsi="Times New Roman" w:cs="Times New Roman"/>
          <w:noProof/>
          <w:sz w:val="24"/>
          <w:szCs w:val="24"/>
        </w:rPr>
        <w:t xml:space="preserve"> all </w:t>
      </w:r>
      <w:r w:rsidR="009307CE">
        <w:rPr>
          <w:rFonts w:ascii="Times New Roman" w:eastAsia="Calibri" w:hAnsi="Times New Roman" w:cs="Times New Roman"/>
          <w:noProof/>
          <w:sz w:val="24"/>
          <w:szCs w:val="24"/>
        </w:rPr>
        <w:t xml:space="preserve">the </w:t>
      </w:r>
      <w:r>
        <w:rPr>
          <w:rFonts w:ascii="Times New Roman" w:eastAsia="Calibri" w:hAnsi="Times New Roman" w:cs="Times New Roman"/>
          <w:noProof/>
          <w:sz w:val="24"/>
          <w:szCs w:val="24"/>
        </w:rPr>
        <w:t>judicial authorities</w:t>
      </w:r>
      <w:r w:rsidR="009307CE" w:rsidRPr="009307CE">
        <w:rPr>
          <w:rFonts w:ascii="Times New Roman" w:eastAsia="Calibri" w:hAnsi="Times New Roman" w:cs="Times New Roman"/>
          <w:noProof/>
          <w:sz w:val="24"/>
          <w:szCs w:val="24"/>
        </w:rPr>
        <w:t xml:space="preserve"> consulted</w:t>
      </w:r>
      <w:r>
        <w:rPr>
          <w:rFonts w:ascii="Times New Roman" w:eastAsia="Calibri" w:hAnsi="Times New Roman" w:cs="Times New Roman"/>
          <w:noProof/>
          <w:sz w:val="24"/>
          <w:szCs w:val="24"/>
        </w:rPr>
        <w:t xml:space="preserve">, </w:t>
      </w:r>
      <w:r w:rsidR="00613F30">
        <w:rPr>
          <w:rFonts w:ascii="Times New Roman" w:eastAsia="Calibri" w:hAnsi="Times New Roman" w:cs="Times New Roman"/>
          <w:noProof/>
          <w:sz w:val="24"/>
          <w:szCs w:val="24"/>
        </w:rPr>
        <w:t>reported</w:t>
      </w:r>
      <w:r w:rsidRPr="005C65EE">
        <w:rPr>
          <w:rFonts w:ascii="Times New Roman" w:eastAsia="Calibri" w:hAnsi="Times New Roman" w:cs="Times New Roman"/>
          <w:noProof/>
          <w:sz w:val="24"/>
          <w:szCs w:val="24"/>
        </w:rPr>
        <w:t xml:space="preserve"> either a high or very high degree of alignment between their national legislation and the Directive’s provisions on offences and penalties. </w:t>
      </w:r>
      <w:r w:rsidR="009307CE">
        <w:rPr>
          <w:rFonts w:ascii="Times New Roman" w:eastAsia="Calibri" w:hAnsi="Times New Roman" w:cs="Times New Roman"/>
          <w:noProof/>
          <w:sz w:val="24"/>
          <w:szCs w:val="24"/>
        </w:rPr>
        <w:t xml:space="preserve">It is to be noted </w:t>
      </w:r>
      <w:r w:rsidR="00613F30">
        <w:rPr>
          <w:rFonts w:ascii="Times New Roman" w:eastAsia="Calibri" w:hAnsi="Times New Roman" w:cs="Times New Roman"/>
          <w:noProof/>
          <w:sz w:val="24"/>
          <w:szCs w:val="24"/>
        </w:rPr>
        <w:t>that</w:t>
      </w:r>
      <w:r w:rsidR="00613F30" w:rsidRPr="005C65EE">
        <w:rPr>
          <w:rFonts w:ascii="Times New Roman" w:eastAsia="Calibri" w:hAnsi="Times New Roman" w:cs="Times New Roman"/>
          <w:noProof/>
          <w:sz w:val="24"/>
          <w:szCs w:val="24"/>
        </w:rPr>
        <w:t xml:space="preserve"> </w:t>
      </w:r>
      <w:r w:rsidR="00613F30">
        <w:rPr>
          <w:rFonts w:ascii="Times New Roman" w:eastAsia="Calibri" w:hAnsi="Times New Roman" w:cs="Times New Roman"/>
          <w:noProof/>
          <w:sz w:val="24"/>
          <w:szCs w:val="24"/>
        </w:rPr>
        <w:t>a number of</w:t>
      </w:r>
      <w:r w:rsidR="00613F30" w:rsidRPr="005C65EE">
        <w:rPr>
          <w:rFonts w:ascii="Times New Roman" w:eastAsia="Calibri" w:hAnsi="Times New Roman" w:cs="Times New Roman"/>
          <w:noProof/>
          <w:sz w:val="24"/>
          <w:szCs w:val="24"/>
        </w:rPr>
        <w:t xml:space="preserve"> national frameworks were already in line with international standards</w:t>
      </w:r>
      <w:r w:rsidR="003652F2">
        <w:rPr>
          <w:rFonts w:ascii="Times New Roman" w:eastAsia="Calibri" w:hAnsi="Times New Roman" w:cs="Times New Roman"/>
          <w:noProof/>
          <w:sz w:val="24"/>
          <w:szCs w:val="24"/>
        </w:rPr>
        <w:t xml:space="preserve"> reflected </w:t>
      </w:r>
      <w:r w:rsidR="00613F30" w:rsidRPr="005C65EE">
        <w:rPr>
          <w:rFonts w:ascii="Times New Roman" w:eastAsia="Calibri" w:hAnsi="Times New Roman" w:cs="Times New Roman"/>
          <w:noProof/>
          <w:sz w:val="24"/>
          <w:szCs w:val="24"/>
        </w:rPr>
        <w:t xml:space="preserve">in the </w:t>
      </w:r>
      <w:r w:rsidR="00613F30">
        <w:rPr>
          <w:rFonts w:ascii="Times New Roman" w:eastAsia="Calibri" w:hAnsi="Times New Roman" w:cs="Times New Roman"/>
          <w:noProof/>
          <w:sz w:val="24"/>
          <w:szCs w:val="24"/>
        </w:rPr>
        <w:t>Directive</w:t>
      </w:r>
      <w:r w:rsidR="009307CE">
        <w:rPr>
          <w:rFonts w:ascii="Times New Roman" w:eastAsia="Calibri" w:hAnsi="Times New Roman" w:cs="Times New Roman"/>
          <w:noProof/>
          <w:sz w:val="24"/>
          <w:szCs w:val="24"/>
        </w:rPr>
        <w:t xml:space="preserve"> (a point also raised by criminal law practitioners and one international organisation)</w:t>
      </w:r>
      <w:r w:rsidR="00081B14">
        <w:rPr>
          <w:rFonts w:ascii="Times New Roman" w:eastAsia="Calibri" w:hAnsi="Times New Roman" w:cs="Times New Roman"/>
          <w:noProof/>
          <w:sz w:val="24"/>
          <w:szCs w:val="24"/>
        </w:rPr>
        <w:t xml:space="preserve">, in particular regarding the ‘standard’ </w:t>
      </w:r>
      <w:r w:rsidR="00DD5C3F">
        <w:rPr>
          <w:rFonts w:ascii="Times New Roman" w:eastAsia="Calibri" w:hAnsi="Times New Roman" w:cs="Times New Roman"/>
          <w:noProof/>
          <w:sz w:val="24"/>
          <w:szCs w:val="24"/>
        </w:rPr>
        <w:t>money-</w:t>
      </w:r>
      <w:r w:rsidR="00081B14">
        <w:rPr>
          <w:rFonts w:ascii="Times New Roman" w:eastAsia="Calibri" w:hAnsi="Times New Roman" w:cs="Times New Roman"/>
          <w:noProof/>
          <w:sz w:val="24"/>
          <w:szCs w:val="24"/>
        </w:rPr>
        <w:t>laundering offence</w:t>
      </w:r>
      <w:r w:rsidR="00555789">
        <w:rPr>
          <w:rFonts w:ascii="Times New Roman" w:eastAsia="Calibri" w:hAnsi="Times New Roman" w:cs="Times New Roman"/>
          <w:noProof/>
          <w:sz w:val="24"/>
          <w:szCs w:val="24"/>
        </w:rPr>
        <w:t xml:space="preserve">, </w:t>
      </w:r>
      <w:r w:rsidR="00555789" w:rsidRPr="00555789">
        <w:rPr>
          <w:rFonts w:ascii="Times New Roman" w:eastAsia="Calibri" w:hAnsi="Times New Roman" w:cs="Times New Roman"/>
          <w:noProof/>
          <w:sz w:val="24"/>
          <w:szCs w:val="24"/>
        </w:rPr>
        <w:t>i.e. transferring or converting property derived from criminal activity, hiding or disguising its illicit origin, or acquiring, possessing or using property knowing of its criminal origin</w:t>
      </w:r>
      <w:r w:rsidR="00553A75">
        <w:rPr>
          <w:rStyle w:val="FootnoteReference"/>
          <w:rFonts w:ascii="Times New Roman" w:eastAsia="Calibri" w:hAnsi="Times New Roman" w:cs="Times New Roman"/>
          <w:noProof/>
          <w:szCs w:val="24"/>
        </w:rPr>
        <w:footnoteReference w:id="22"/>
      </w:r>
      <w:r w:rsidR="00325F27">
        <w:rPr>
          <w:rFonts w:ascii="Times New Roman" w:eastAsia="Calibri" w:hAnsi="Times New Roman" w:cs="Times New Roman"/>
          <w:noProof/>
          <w:sz w:val="24"/>
          <w:szCs w:val="24"/>
        </w:rPr>
        <w:t>. D</w:t>
      </w:r>
      <w:r w:rsidR="009F526F">
        <w:rPr>
          <w:rFonts w:ascii="Times New Roman" w:eastAsia="Calibri" w:hAnsi="Times New Roman" w:cs="Times New Roman"/>
          <w:noProof/>
          <w:sz w:val="24"/>
          <w:szCs w:val="24"/>
        </w:rPr>
        <w:t>espite this</w:t>
      </w:r>
      <w:r w:rsidR="004D54F9">
        <w:rPr>
          <w:rFonts w:ascii="Times New Roman" w:eastAsia="Calibri" w:hAnsi="Times New Roman" w:cs="Times New Roman"/>
          <w:noProof/>
          <w:sz w:val="24"/>
          <w:szCs w:val="24"/>
        </w:rPr>
        <w:t>, the Directive</w:t>
      </w:r>
      <w:r w:rsidR="00613F30">
        <w:rPr>
          <w:rFonts w:ascii="Times New Roman" w:eastAsia="Calibri" w:hAnsi="Times New Roman" w:cs="Times New Roman"/>
          <w:noProof/>
          <w:sz w:val="24"/>
          <w:szCs w:val="24"/>
        </w:rPr>
        <w:t xml:space="preserve"> still led to further approximation, for instance, </w:t>
      </w:r>
      <w:r w:rsidR="00735053">
        <w:rPr>
          <w:rFonts w:ascii="Times New Roman" w:eastAsia="Calibri" w:hAnsi="Times New Roman" w:cs="Times New Roman"/>
          <w:noProof/>
          <w:sz w:val="24"/>
          <w:szCs w:val="24"/>
        </w:rPr>
        <w:t xml:space="preserve">thanks </w:t>
      </w:r>
      <w:r w:rsidR="00613F30">
        <w:rPr>
          <w:rFonts w:ascii="Times New Roman" w:eastAsia="Calibri" w:hAnsi="Times New Roman" w:cs="Times New Roman"/>
          <w:noProof/>
          <w:sz w:val="24"/>
          <w:szCs w:val="24"/>
        </w:rPr>
        <w:t>to</w:t>
      </w:r>
      <w:r w:rsidRPr="005C65EE">
        <w:rPr>
          <w:rFonts w:ascii="Times New Roman" w:eastAsia="Calibri" w:hAnsi="Times New Roman" w:cs="Times New Roman"/>
          <w:noProof/>
          <w:sz w:val="24"/>
          <w:szCs w:val="24"/>
        </w:rPr>
        <w:t xml:space="preserve"> the introduction of new money</w:t>
      </w:r>
      <w:r w:rsidR="006B3044">
        <w:rPr>
          <w:rFonts w:ascii="Times New Roman" w:eastAsia="Calibri" w:hAnsi="Times New Roman" w:cs="Times New Roman"/>
          <w:noProof/>
          <w:sz w:val="24"/>
          <w:szCs w:val="24"/>
        </w:rPr>
        <w:t xml:space="preserve"> </w:t>
      </w:r>
      <w:r w:rsidRPr="005C65EE">
        <w:rPr>
          <w:rFonts w:ascii="Times New Roman" w:eastAsia="Calibri" w:hAnsi="Times New Roman" w:cs="Times New Roman"/>
          <w:noProof/>
          <w:sz w:val="24"/>
          <w:szCs w:val="24"/>
        </w:rPr>
        <w:t>laundering offences</w:t>
      </w:r>
      <w:r w:rsidR="00613F30">
        <w:rPr>
          <w:rFonts w:ascii="Times New Roman" w:eastAsia="Calibri" w:hAnsi="Times New Roman" w:cs="Times New Roman"/>
          <w:noProof/>
          <w:sz w:val="24"/>
          <w:szCs w:val="24"/>
        </w:rPr>
        <w:t xml:space="preserve"> and </w:t>
      </w:r>
      <w:r w:rsidRPr="005C65EE">
        <w:rPr>
          <w:rFonts w:ascii="Times New Roman" w:eastAsia="Calibri" w:hAnsi="Times New Roman" w:cs="Times New Roman"/>
          <w:noProof/>
          <w:sz w:val="24"/>
          <w:szCs w:val="24"/>
        </w:rPr>
        <w:t>the clarification of aggravating circumstances</w:t>
      </w:r>
      <w:r w:rsidR="004D54F9">
        <w:rPr>
          <w:rStyle w:val="FootnoteReference"/>
          <w:rFonts w:ascii="Times New Roman" w:eastAsia="Calibri" w:hAnsi="Times New Roman" w:cs="Times New Roman"/>
          <w:noProof/>
          <w:szCs w:val="24"/>
        </w:rPr>
        <w:footnoteReference w:id="23"/>
      </w:r>
      <w:r w:rsidRPr="005C65EE">
        <w:rPr>
          <w:rFonts w:ascii="Times New Roman" w:eastAsia="Calibri" w:hAnsi="Times New Roman" w:cs="Times New Roman"/>
          <w:noProof/>
          <w:sz w:val="24"/>
          <w:szCs w:val="24"/>
        </w:rPr>
        <w:t xml:space="preserve">. </w:t>
      </w:r>
      <w:r w:rsidR="0078191C">
        <w:rPr>
          <w:rFonts w:ascii="Times New Roman" w:eastAsia="Calibri" w:hAnsi="Times New Roman" w:cs="Times New Roman"/>
          <w:noProof/>
          <w:sz w:val="24"/>
          <w:szCs w:val="24"/>
        </w:rPr>
        <w:t>There was also an approximation in the level of penalties among Member States for these offences</w:t>
      </w:r>
      <w:r w:rsidR="00EF126B">
        <w:rPr>
          <w:rFonts w:ascii="Times New Roman" w:eastAsia="Calibri" w:hAnsi="Times New Roman" w:cs="Times New Roman"/>
          <w:noProof/>
          <w:sz w:val="24"/>
          <w:szCs w:val="24"/>
        </w:rPr>
        <w:t xml:space="preserve">, with all Member States being conform </w:t>
      </w:r>
      <w:r w:rsidR="000331E7">
        <w:rPr>
          <w:rFonts w:ascii="Times New Roman" w:eastAsia="Calibri" w:hAnsi="Times New Roman" w:cs="Times New Roman"/>
          <w:noProof/>
          <w:sz w:val="24"/>
          <w:szCs w:val="24"/>
        </w:rPr>
        <w:t>with the thresholds set out in the Directive (</w:t>
      </w:r>
      <w:r w:rsidR="009D6058">
        <w:rPr>
          <w:rFonts w:ascii="Times New Roman" w:eastAsia="Calibri" w:hAnsi="Times New Roman" w:cs="Times New Roman"/>
          <w:noProof/>
          <w:sz w:val="24"/>
          <w:szCs w:val="24"/>
        </w:rPr>
        <w:t xml:space="preserve">a maximum of </w:t>
      </w:r>
      <w:r w:rsidR="000A4652">
        <w:rPr>
          <w:rFonts w:ascii="Times New Roman" w:eastAsia="Calibri" w:hAnsi="Times New Roman" w:cs="Times New Roman"/>
          <w:noProof/>
          <w:sz w:val="24"/>
          <w:szCs w:val="24"/>
        </w:rPr>
        <w:t xml:space="preserve">at least </w:t>
      </w:r>
      <w:r w:rsidR="009D6058">
        <w:rPr>
          <w:rFonts w:ascii="Times New Roman" w:eastAsia="Calibri" w:hAnsi="Times New Roman" w:cs="Times New Roman"/>
          <w:noProof/>
          <w:sz w:val="24"/>
          <w:szCs w:val="24"/>
        </w:rPr>
        <w:t xml:space="preserve">four years for the standard </w:t>
      </w:r>
      <w:r w:rsidR="000737DD">
        <w:rPr>
          <w:rFonts w:ascii="Times New Roman" w:eastAsia="Calibri" w:hAnsi="Times New Roman" w:cs="Times New Roman"/>
          <w:noProof/>
          <w:sz w:val="24"/>
          <w:szCs w:val="24"/>
        </w:rPr>
        <w:t>money laundering offences as well as for self-laundering</w:t>
      </w:r>
      <w:r w:rsidR="00703AEB">
        <w:rPr>
          <w:rFonts w:ascii="Times New Roman" w:eastAsia="Calibri" w:hAnsi="Times New Roman" w:cs="Times New Roman"/>
          <w:noProof/>
          <w:sz w:val="24"/>
          <w:szCs w:val="24"/>
        </w:rPr>
        <w:t>)</w:t>
      </w:r>
      <w:r w:rsidR="00BB2C32">
        <w:rPr>
          <w:rFonts w:ascii="Times New Roman" w:eastAsia="Calibri" w:hAnsi="Times New Roman" w:cs="Times New Roman"/>
          <w:noProof/>
          <w:sz w:val="24"/>
          <w:szCs w:val="24"/>
        </w:rPr>
        <w:t xml:space="preserve">. Members of the EMPACT community have </w:t>
      </w:r>
      <w:r w:rsidR="00AC4AEB">
        <w:rPr>
          <w:rFonts w:ascii="Times New Roman" w:eastAsia="Calibri" w:hAnsi="Times New Roman" w:cs="Times New Roman"/>
          <w:noProof/>
          <w:sz w:val="24"/>
          <w:szCs w:val="24"/>
        </w:rPr>
        <w:t>indicated</w:t>
      </w:r>
      <w:r w:rsidR="00BB2C32">
        <w:rPr>
          <w:rFonts w:ascii="Times New Roman" w:eastAsia="Calibri" w:hAnsi="Times New Roman" w:cs="Times New Roman"/>
          <w:noProof/>
          <w:sz w:val="24"/>
          <w:szCs w:val="24"/>
        </w:rPr>
        <w:t xml:space="preserve"> the deterrent effect of the </w:t>
      </w:r>
      <w:r w:rsidR="001F1129">
        <w:rPr>
          <w:rFonts w:ascii="Times New Roman" w:eastAsia="Calibri" w:hAnsi="Times New Roman" w:cs="Times New Roman"/>
          <w:noProof/>
          <w:sz w:val="24"/>
          <w:szCs w:val="24"/>
        </w:rPr>
        <w:t xml:space="preserve">national laws transposing the </w:t>
      </w:r>
      <w:r w:rsidR="00BB2C32">
        <w:rPr>
          <w:rFonts w:ascii="Times New Roman" w:eastAsia="Calibri" w:hAnsi="Times New Roman" w:cs="Times New Roman"/>
          <w:noProof/>
          <w:sz w:val="24"/>
          <w:szCs w:val="24"/>
        </w:rPr>
        <w:t xml:space="preserve">Directive, including </w:t>
      </w:r>
      <w:r w:rsidR="002017A1">
        <w:rPr>
          <w:rFonts w:ascii="Times New Roman" w:eastAsia="Calibri" w:hAnsi="Times New Roman" w:cs="Times New Roman"/>
          <w:noProof/>
          <w:sz w:val="24"/>
          <w:szCs w:val="24"/>
        </w:rPr>
        <w:t>with</w:t>
      </w:r>
      <w:r w:rsidR="00BB2C32">
        <w:rPr>
          <w:rFonts w:ascii="Times New Roman" w:eastAsia="Calibri" w:hAnsi="Times New Roman" w:cs="Times New Roman"/>
          <w:noProof/>
          <w:sz w:val="24"/>
          <w:szCs w:val="24"/>
        </w:rPr>
        <w:t xml:space="preserve"> regard</w:t>
      </w:r>
      <w:r w:rsidR="002017A1">
        <w:rPr>
          <w:rFonts w:ascii="Times New Roman" w:eastAsia="Calibri" w:hAnsi="Times New Roman" w:cs="Times New Roman"/>
          <w:noProof/>
          <w:sz w:val="24"/>
          <w:szCs w:val="24"/>
        </w:rPr>
        <w:t xml:space="preserve"> to</w:t>
      </w:r>
      <w:r w:rsidR="00BB2C32">
        <w:rPr>
          <w:rFonts w:ascii="Times New Roman" w:eastAsia="Calibri" w:hAnsi="Times New Roman" w:cs="Times New Roman"/>
          <w:noProof/>
          <w:sz w:val="24"/>
          <w:szCs w:val="24"/>
        </w:rPr>
        <w:t xml:space="preserve"> penalties</w:t>
      </w:r>
      <w:r w:rsidR="00AE3728">
        <w:rPr>
          <w:rFonts w:ascii="Times New Roman" w:eastAsia="Calibri" w:hAnsi="Times New Roman" w:cs="Times New Roman"/>
          <w:noProof/>
          <w:sz w:val="24"/>
          <w:szCs w:val="24"/>
        </w:rPr>
        <w:t>, according to the consultation carried out by the external study supporting the evaluation</w:t>
      </w:r>
      <w:r w:rsidR="00BB2C32">
        <w:rPr>
          <w:rFonts w:ascii="Times New Roman" w:eastAsia="Calibri" w:hAnsi="Times New Roman" w:cs="Times New Roman"/>
          <w:noProof/>
          <w:sz w:val="24"/>
          <w:szCs w:val="24"/>
        </w:rPr>
        <w:t>.</w:t>
      </w:r>
    </w:p>
    <w:p w14:paraId="09C295C6" w14:textId="77777777" w:rsidR="00340F39" w:rsidRPr="009A39FA" w:rsidRDefault="00340F39" w:rsidP="00A56091">
      <w:pPr>
        <w:spacing w:after="0"/>
        <w:ind w:right="-30"/>
        <w:jc w:val="both"/>
        <w:rPr>
          <w:rFonts w:ascii="Times New Roman" w:hAnsi="Times New Roman" w:cs="Times New Roman"/>
          <w:noProof/>
          <w:sz w:val="24"/>
          <w:szCs w:val="24"/>
        </w:rPr>
      </w:pPr>
    </w:p>
    <w:p w14:paraId="75E8D494" w14:textId="4C8E73D7" w:rsidR="00C71D4B" w:rsidRPr="00575CC5" w:rsidRDefault="00C71D4B" w:rsidP="00214493">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transposition of the Directive also ensured a closer </w:t>
      </w:r>
      <w:r w:rsidRPr="00575CC5">
        <w:rPr>
          <w:rFonts w:ascii="Times New Roman" w:hAnsi="Times New Roman" w:cs="Times New Roman"/>
          <w:b/>
          <w:bCs/>
          <w:noProof/>
          <w:sz w:val="24"/>
          <w:szCs w:val="24"/>
          <w:lang w:val="en-IE"/>
        </w:rPr>
        <w:t>alignment of predicate offences</w:t>
      </w:r>
      <w:r w:rsidRPr="00575CC5">
        <w:rPr>
          <w:rFonts w:ascii="Times New Roman" w:hAnsi="Times New Roman" w:cs="Times New Roman"/>
          <w:noProof/>
          <w:sz w:val="24"/>
          <w:szCs w:val="24"/>
          <w:lang w:val="en-IE"/>
        </w:rPr>
        <w:t xml:space="preserve">, in line with the approach in the Directive which defines the concept of ‘criminal activity’ </w:t>
      </w:r>
      <w:r w:rsidRPr="00575CC5">
        <w:rPr>
          <w:rFonts w:ascii="Times New Roman" w:hAnsi="Times New Roman" w:cs="Times New Roman"/>
          <w:i/>
          <w:iCs/>
          <w:noProof/>
          <w:sz w:val="24"/>
          <w:szCs w:val="24"/>
          <w:lang w:val="en-IE"/>
        </w:rPr>
        <w:t>(Article 2)</w:t>
      </w:r>
      <w:r w:rsidRPr="00575CC5">
        <w:rPr>
          <w:rFonts w:ascii="Times New Roman" w:hAnsi="Times New Roman" w:cs="Times New Roman"/>
          <w:noProof/>
          <w:sz w:val="24"/>
          <w:szCs w:val="24"/>
          <w:lang w:val="en-IE"/>
        </w:rPr>
        <w:t>. This definition sets a minimum threshold (offences with a maximum penalty of imprisonment of at least one year), while enumerating a list of categories of serious offences which should, as a minimum, be considered predicate offences (e.g. eurocrimes</w:t>
      </w:r>
      <w:r w:rsidR="00DD088B">
        <w:rPr>
          <w:rStyle w:val="FootnoteReference"/>
          <w:rFonts w:ascii="Times New Roman" w:hAnsi="Times New Roman" w:cs="Times New Roman"/>
          <w:noProof/>
          <w:szCs w:val="24"/>
          <w:lang w:val="en-IE"/>
        </w:rPr>
        <w:footnoteReference w:id="24"/>
      </w:r>
      <w:r w:rsidRPr="00575CC5">
        <w:rPr>
          <w:rFonts w:ascii="Times New Roman" w:hAnsi="Times New Roman" w:cs="Times New Roman"/>
          <w:noProof/>
          <w:sz w:val="24"/>
          <w:szCs w:val="24"/>
          <w:lang w:val="en-IE"/>
        </w:rPr>
        <w:t xml:space="preserve"> such as drug trafficking or trafficking in human beings but also other categories of crime such as robbery, forgery etc.). </w:t>
      </w:r>
      <w:r w:rsidR="00C817C1">
        <w:rPr>
          <w:rFonts w:ascii="Times New Roman" w:hAnsi="Times New Roman" w:cs="Times New Roman"/>
          <w:noProof/>
          <w:sz w:val="24"/>
          <w:szCs w:val="24"/>
          <w:lang w:val="en-IE"/>
        </w:rPr>
        <w:t>Stakeholders consulted – notably academics</w:t>
      </w:r>
      <w:r w:rsidR="00705BCB">
        <w:rPr>
          <w:rFonts w:ascii="Times New Roman" w:hAnsi="Times New Roman" w:cs="Times New Roman"/>
          <w:noProof/>
          <w:sz w:val="24"/>
          <w:szCs w:val="24"/>
          <w:lang w:val="en-IE"/>
        </w:rPr>
        <w:t xml:space="preserve"> and</w:t>
      </w:r>
      <w:r w:rsidR="00C817C1">
        <w:rPr>
          <w:rFonts w:ascii="Times New Roman" w:hAnsi="Times New Roman" w:cs="Times New Roman"/>
          <w:noProof/>
          <w:sz w:val="24"/>
          <w:szCs w:val="24"/>
          <w:lang w:val="en-IE"/>
        </w:rPr>
        <w:t xml:space="preserve"> criminal law practitioners</w:t>
      </w:r>
      <w:r w:rsidR="002D213A">
        <w:rPr>
          <w:rFonts w:ascii="Times New Roman" w:hAnsi="Times New Roman" w:cs="Times New Roman"/>
          <w:noProof/>
          <w:sz w:val="24"/>
          <w:szCs w:val="24"/>
          <w:lang w:val="en-IE"/>
        </w:rPr>
        <w:t xml:space="preserve"> </w:t>
      </w:r>
      <w:r w:rsidR="00454EEF">
        <w:rPr>
          <w:rFonts w:ascii="Times New Roman" w:hAnsi="Times New Roman" w:cs="Times New Roman"/>
          <w:noProof/>
          <w:sz w:val="24"/>
          <w:szCs w:val="24"/>
          <w:lang w:val="en-IE"/>
        </w:rPr>
        <w:t>– have underlined that w</w:t>
      </w:r>
      <w:r w:rsidRPr="00575CC5">
        <w:rPr>
          <w:rFonts w:ascii="Times New Roman" w:hAnsi="Times New Roman" w:cs="Times New Roman"/>
          <w:noProof/>
          <w:sz w:val="24"/>
          <w:szCs w:val="24"/>
          <w:lang w:val="en-IE"/>
        </w:rPr>
        <w:t>hile some Member States have opted for an all-crimes approach, others have included a list of crimes</w:t>
      </w:r>
      <w:r w:rsidR="00723C45">
        <w:rPr>
          <w:rFonts w:ascii="Times New Roman" w:hAnsi="Times New Roman" w:cs="Times New Roman"/>
          <w:noProof/>
          <w:sz w:val="24"/>
          <w:szCs w:val="24"/>
          <w:lang w:val="en-IE"/>
        </w:rPr>
        <w:t xml:space="preserve"> in their legislation</w:t>
      </w:r>
      <w:r w:rsidRPr="00575CC5">
        <w:rPr>
          <w:rFonts w:ascii="Times New Roman" w:hAnsi="Times New Roman" w:cs="Times New Roman"/>
          <w:noProof/>
          <w:sz w:val="24"/>
          <w:szCs w:val="24"/>
          <w:lang w:val="en-IE"/>
        </w:rPr>
        <w:t xml:space="preserve">. This still implies a high level of harmonisation and, by ensuring that a </w:t>
      </w:r>
      <w:r w:rsidR="00723C45">
        <w:rPr>
          <w:rFonts w:ascii="Times New Roman" w:hAnsi="Times New Roman" w:cs="Times New Roman"/>
          <w:noProof/>
          <w:sz w:val="24"/>
          <w:szCs w:val="24"/>
          <w:lang w:val="en-IE"/>
        </w:rPr>
        <w:t>wide range</w:t>
      </w:r>
      <w:r w:rsidRPr="00575CC5">
        <w:rPr>
          <w:rFonts w:ascii="Times New Roman" w:hAnsi="Times New Roman" w:cs="Times New Roman"/>
          <w:noProof/>
          <w:sz w:val="24"/>
          <w:szCs w:val="24"/>
          <w:lang w:val="en-IE"/>
        </w:rPr>
        <w:t xml:space="preserve"> of criminal activities </w:t>
      </w:r>
      <w:r w:rsidR="0094037D">
        <w:rPr>
          <w:rFonts w:ascii="Times New Roman" w:hAnsi="Times New Roman" w:cs="Times New Roman"/>
          <w:noProof/>
          <w:sz w:val="24"/>
          <w:szCs w:val="24"/>
          <w:lang w:val="en-IE"/>
        </w:rPr>
        <w:t>is</w:t>
      </w:r>
      <w:r w:rsidR="0094037D"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considered predicate offences, it facilitates the investigation and prosecution of money laundering.</w:t>
      </w:r>
    </w:p>
    <w:p w14:paraId="68795185" w14:textId="0FFECCF6" w:rsidR="00B37E6C" w:rsidRPr="00575CC5" w:rsidRDefault="00214493" w:rsidP="00214493">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This means not only that there is alignment among Member States</w:t>
      </w:r>
      <w:r w:rsidR="002347B8">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provisions, but also that authorities across the EU </w:t>
      </w:r>
      <w:r w:rsidR="00BB5BE7">
        <w:rPr>
          <w:rFonts w:ascii="Times New Roman" w:hAnsi="Times New Roman" w:cs="Times New Roman"/>
          <w:noProof/>
          <w:sz w:val="24"/>
          <w:szCs w:val="24"/>
          <w:lang w:val="en-IE"/>
        </w:rPr>
        <w:t xml:space="preserve">can </w:t>
      </w:r>
      <w:r w:rsidR="0042233B" w:rsidRPr="00575CC5">
        <w:rPr>
          <w:rFonts w:ascii="Times New Roman" w:hAnsi="Times New Roman" w:cs="Times New Roman"/>
          <w:noProof/>
          <w:sz w:val="24"/>
          <w:szCs w:val="24"/>
          <w:lang w:val="en-IE"/>
        </w:rPr>
        <w:t xml:space="preserve">now </w:t>
      </w:r>
      <w:r w:rsidRPr="00575CC5">
        <w:rPr>
          <w:rFonts w:ascii="Times New Roman" w:hAnsi="Times New Roman" w:cs="Times New Roman"/>
          <w:noProof/>
          <w:sz w:val="24"/>
          <w:szCs w:val="24"/>
          <w:lang w:val="en-IE"/>
        </w:rPr>
        <w:t xml:space="preserve">count </w:t>
      </w:r>
      <w:r w:rsidR="00BB5BE7">
        <w:rPr>
          <w:rFonts w:ascii="Times New Roman" w:hAnsi="Times New Roman" w:cs="Times New Roman"/>
          <w:noProof/>
          <w:sz w:val="24"/>
          <w:szCs w:val="24"/>
          <w:lang w:val="en-IE"/>
        </w:rPr>
        <w:t>on</w:t>
      </w:r>
      <w:r w:rsidR="00BB5BE7" w:rsidRPr="00575CC5">
        <w:rPr>
          <w:rFonts w:ascii="Times New Roman" w:hAnsi="Times New Roman" w:cs="Times New Roman"/>
          <w:noProof/>
          <w:sz w:val="24"/>
          <w:szCs w:val="24"/>
          <w:lang w:val="en-IE"/>
        </w:rPr>
        <w:t xml:space="preserve"> </w:t>
      </w:r>
      <w:r w:rsidR="0042233B">
        <w:rPr>
          <w:rFonts w:ascii="Times New Roman" w:hAnsi="Times New Roman" w:cs="Times New Roman"/>
          <w:noProof/>
          <w:sz w:val="24"/>
          <w:szCs w:val="24"/>
          <w:lang w:val="en-IE"/>
        </w:rPr>
        <w:t xml:space="preserve">having </w:t>
      </w:r>
      <w:r w:rsidRPr="00575CC5">
        <w:rPr>
          <w:rFonts w:ascii="Times New Roman" w:hAnsi="Times New Roman" w:cs="Times New Roman"/>
          <w:noProof/>
          <w:sz w:val="24"/>
          <w:szCs w:val="24"/>
          <w:lang w:val="en-IE"/>
        </w:rPr>
        <w:t>a comprehensive set of tools to respond more effectively to the various acts that constitute money laundering, through a sufficiently broad definition of the money laundering offence</w:t>
      </w:r>
      <w:r w:rsidR="003868FE" w:rsidRPr="00575CC5">
        <w:rPr>
          <w:rFonts w:ascii="Times New Roman" w:hAnsi="Times New Roman" w:cs="Times New Roman"/>
          <w:noProof/>
          <w:sz w:val="24"/>
          <w:szCs w:val="24"/>
          <w:lang w:val="en-IE"/>
        </w:rPr>
        <w:t xml:space="preserve">, a </w:t>
      </w:r>
      <w:r w:rsidR="001763B4" w:rsidRPr="00575CC5">
        <w:rPr>
          <w:rFonts w:ascii="Times New Roman" w:hAnsi="Times New Roman" w:cs="Times New Roman"/>
          <w:noProof/>
          <w:sz w:val="24"/>
          <w:szCs w:val="24"/>
          <w:lang w:val="en-IE"/>
        </w:rPr>
        <w:t>comprehensive</w:t>
      </w:r>
      <w:r w:rsidR="003868FE" w:rsidRPr="00575CC5">
        <w:rPr>
          <w:rFonts w:ascii="Times New Roman" w:hAnsi="Times New Roman" w:cs="Times New Roman"/>
          <w:noProof/>
          <w:sz w:val="24"/>
          <w:szCs w:val="24"/>
          <w:lang w:val="en-IE"/>
        </w:rPr>
        <w:t xml:space="preserve"> scope of </w:t>
      </w:r>
      <w:r w:rsidR="001763B4" w:rsidRPr="00575CC5">
        <w:rPr>
          <w:rFonts w:ascii="Times New Roman" w:hAnsi="Times New Roman" w:cs="Times New Roman"/>
          <w:noProof/>
          <w:sz w:val="24"/>
          <w:szCs w:val="24"/>
          <w:lang w:val="en-IE"/>
        </w:rPr>
        <w:t xml:space="preserve">predicate offences </w:t>
      </w:r>
      <w:r w:rsidRPr="00575CC5">
        <w:rPr>
          <w:rFonts w:ascii="Times New Roman" w:hAnsi="Times New Roman" w:cs="Times New Roman"/>
          <w:noProof/>
          <w:sz w:val="24"/>
          <w:szCs w:val="24"/>
          <w:lang w:val="en-IE"/>
        </w:rPr>
        <w:t xml:space="preserve">and through sufficiently dissuasive penalties. </w:t>
      </w:r>
    </w:p>
    <w:p w14:paraId="13D729F3" w14:textId="0F57CFEE" w:rsidR="00B35E49" w:rsidRPr="00575CC5" w:rsidRDefault="00112D22" w:rsidP="00B35E49">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Nonetheless, certain issues may still warrant closer attention to ensure a common understanding and a more consistent approach in practice. This will be discussed below.</w:t>
      </w:r>
    </w:p>
    <w:p w14:paraId="309AFFD9" w14:textId="35A35E60" w:rsidR="00B35E49" w:rsidRPr="00575CC5" w:rsidRDefault="00B35E49" w:rsidP="00161031">
      <w:pPr>
        <w:pStyle w:val="ListParagraph"/>
        <w:numPr>
          <w:ilvl w:val="4"/>
          <w:numId w:val="19"/>
        </w:numPr>
        <w:ind w:left="426" w:hanging="426"/>
        <w:rPr>
          <w:b/>
          <w:i/>
          <w:noProof/>
          <w:lang w:val="en-IE"/>
        </w:rPr>
      </w:pPr>
      <w:r w:rsidRPr="00575CC5">
        <w:rPr>
          <w:b/>
          <w:i/>
          <w:noProof/>
          <w:lang w:val="en-IE"/>
        </w:rPr>
        <w:t xml:space="preserve">Definition of </w:t>
      </w:r>
      <w:r w:rsidR="0042233B">
        <w:rPr>
          <w:b/>
          <w:i/>
          <w:noProof/>
          <w:lang w:val="en-IE"/>
        </w:rPr>
        <w:t>‘</w:t>
      </w:r>
      <w:r w:rsidRPr="00575CC5">
        <w:rPr>
          <w:b/>
          <w:i/>
          <w:noProof/>
          <w:lang w:val="en-IE"/>
        </w:rPr>
        <w:t>property</w:t>
      </w:r>
      <w:r w:rsidR="0042233B">
        <w:rPr>
          <w:b/>
          <w:i/>
          <w:noProof/>
          <w:lang w:val="en-IE"/>
        </w:rPr>
        <w:t>’</w:t>
      </w:r>
      <w:r w:rsidR="0042233B" w:rsidRPr="00575CC5">
        <w:rPr>
          <w:b/>
          <w:i/>
          <w:noProof/>
          <w:lang w:val="en-IE"/>
        </w:rPr>
        <w:t xml:space="preserve"> </w:t>
      </w:r>
      <w:r w:rsidRPr="00575CC5">
        <w:rPr>
          <w:b/>
          <w:i/>
          <w:noProof/>
          <w:lang w:val="en-IE"/>
        </w:rPr>
        <w:t>and the interpretation of the concept of property in the context of money laundering (Article 2)</w:t>
      </w:r>
      <w:r w:rsidR="003E7CAC" w:rsidRPr="00575CC5">
        <w:rPr>
          <w:b/>
          <w:i/>
          <w:noProof/>
          <w:lang w:val="en-IE"/>
        </w:rPr>
        <w:t xml:space="preserve"> </w:t>
      </w:r>
    </w:p>
    <w:p w14:paraId="4045009E" w14:textId="0E217D62" w:rsidR="0010170B" w:rsidRPr="00575CC5" w:rsidRDefault="0010170B" w:rsidP="0010170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Article 2(2) of the </w:t>
      </w:r>
      <w:r w:rsidR="00694FCA">
        <w:rPr>
          <w:rFonts w:ascii="Times New Roman" w:hAnsi="Times New Roman" w:cs="Times New Roman"/>
          <w:noProof/>
          <w:sz w:val="24"/>
          <w:szCs w:val="24"/>
          <w:lang w:val="en-IE"/>
        </w:rPr>
        <w:t>CMLD Directive</w:t>
      </w:r>
      <w:r w:rsidRPr="00575CC5">
        <w:rPr>
          <w:rFonts w:ascii="Times New Roman" w:hAnsi="Times New Roman" w:cs="Times New Roman"/>
          <w:noProof/>
          <w:sz w:val="24"/>
          <w:szCs w:val="24"/>
          <w:lang w:val="en-IE"/>
        </w:rPr>
        <w:t xml:space="preserve"> defines </w:t>
      </w:r>
      <w:r w:rsidR="00933AB9">
        <w:rPr>
          <w:rFonts w:ascii="Times New Roman" w:hAnsi="Times New Roman" w:cs="Times New Roman"/>
          <w:noProof/>
          <w:sz w:val="24"/>
          <w:szCs w:val="24"/>
          <w:lang w:val="en-IE"/>
        </w:rPr>
        <w:t>‘p</w:t>
      </w:r>
      <w:r w:rsidRPr="00575CC5">
        <w:rPr>
          <w:rFonts w:ascii="Times New Roman" w:hAnsi="Times New Roman" w:cs="Times New Roman"/>
          <w:noProof/>
          <w:sz w:val="24"/>
          <w:szCs w:val="24"/>
          <w:lang w:val="en-IE"/>
        </w:rPr>
        <w:t>roperty</w:t>
      </w:r>
      <w:r w:rsidR="00933AB9">
        <w:rPr>
          <w:rFonts w:ascii="Times New Roman" w:hAnsi="Times New Roman" w:cs="Times New Roman"/>
          <w:noProof/>
          <w:sz w:val="24"/>
          <w:szCs w:val="24"/>
          <w:lang w:val="en-IE"/>
        </w:rPr>
        <w:t>’</w:t>
      </w:r>
      <w:r w:rsidR="00933AB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as including </w:t>
      </w:r>
      <w:r w:rsidR="00933AB9">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assets of any kind, whether corporeal or incorporeal, movable or immovable, tangible or intangible, and legal documents or instruments in any form, including electronic or digital, evidencing title to, or an interest in, such assets</w:t>
      </w:r>
      <w:r w:rsidR="00933AB9">
        <w:rPr>
          <w:rFonts w:ascii="Times New Roman" w:hAnsi="Times New Roman" w:cs="Times New Roman"/>
          <w:noProof/>
          <w:sz w:val="24"/>
          <w:szCs w:val="24"/>
          <w:lang w:val="en-IE"/>
        </w:rPr>
        <w:t>’.</w:t>
      </w:r>
      <w:r w:rsidR="00933AB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While the definition of property in the Directive is, in principle, very broad, </w:t>
      </w:r>
      <w:r w:rsidR="00775E49">
        <w:rPr>
          <w:rFonts w:ascii="Times New Roman" w:hAnsi="Times New Roman" w:cs="Times New Roman"/>
          <w:noProof/>
          <w:sz w:val="24"/>
          <w:szCs w:val="24"/>
          <w:lang w:val="en-IE"/>
        </w:rPr>
        <w:t>the Commission was made aware in exchanges with national practitioners as well as</w:t>
      </w:r>
      <w:r w:rsidR="00980BE5">
        <w:rPr>
          <w:rFonts w:ascii="Times New Roman" w:hAnsi="Times New Roman" w:cs="Times New Roman"/>
          <w:noProof/>
          <w:sz w:val="24"/>
          <w:szCs w:val="24"/>
          <w:lang w:val="en-IE"/>
        </w:rPr>
        <w:t xml:space="preserve"> with</w:t>
      </w:r>
      <w:r w:rsidR="00775E49">
        <w:rPr>
          <w:rFonts w:ascii="Times New Roman" w:hAnsi="Times New Roman" w:cs="Times New Roman"/>
          <w:noProof/>
          <w:sz w:val="24"/>
          <w:szCs w:val="24"/>
          <w:lang w:val="en-IE"/>
        </w:rPr>
        <w:t xml:space="preserve"> </w:t>
      </w:r>
      <w:r w:rsidR="00504499">
        <w:rPr>
          <w:rFonts w:ascii="Times New Roman" w:hAnsi="Times New Roman" w:cs="Times New Roman"/>
          <w:noProof/>
          <w:sz w:val="24"/>
          <w:szCs w:val="24"/>
          <w:lang w:val="en-IE"/>
        </w:rPr>
        <w:t xml:space="preserve">EU authorities that </w:t>
      </w:r>
      <w:r w:rsidRPr="00575CC5">
        <w:rPr>
          <w:rFonts w:ascii="Times New Roman" w:hAnsi="Times New Roman" w:cs="Times New Roman"/>
          <w:noProof/>
          <w:sz w:val="24"/>
          <w:szCs w:val="24"/>
          <w:lang w:val="en-IE"/>
        </w:rPr>
        <w:t xml:space="preserve">some Member States </w:t>
      </w:r>
      <w:r w:rsidR="00504499">
        <w:rPr>
          <w:rFonts w:ascii="Times New Roman" w:hAnsi="Times New Roman" w:cs="Times New Roman"/>
          <w:noProof/>
          <w:sz w:val="24"/>
          <w:szCs w:val="24"/>
          <w:lang w:val="en-IE"/>
        </w:rPr>
        <w:t>apply</w:t>
      </w:r>
      <w:r w:rsidR="0050449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 more limited interpretation and exclude </w:t>
      </w:r>
      <w:r w:rsidR="00487FC6" w:rsidRPr="00487FC6">
        <w:rPr>
          <w:rFonts w:ascii="Times New Roman" w:hAnsi="Times New Roman" w:cs="Times New Roman"/>
          <w:noProof/>
          <w:sz w:val="24"/>
          <w:szCs w:val="24"/>
          <w:lang w:val="en-IE"/>
        </w:rPr>
        <w:t>saved expenses (such as taxes withheld through committing a tax crime)</w:t>
      </w:r>
      <w:r w:rsidR="00487FC6">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from the scope of </w:t>
      </w:r>
      <w:r w:rsidR="000C132C">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property</w:t>
      </w:r>
      <w:r w:rsidR="000C132C">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that can </w:t>
      </w:r>
      <w:r w:rsidR="00735053">
        <w:rPr>
          <w:rFonts w:ascii="Times New Roman" w:hAnsi="Times New Roman" w:cs="Times New Roman"/>
          <w:noProof/>
          <w:sz w:val="24"/>
          <w:szCs w:val="24"/>
          <w:lang w:val="en-IE"/>
        </w:rPr>
        <w:t xml:space="preserve">be </w:t>
      </w:r>
      <w:r w:rsidR="000C132C">
        <w:rPr>
          <w:rFonts w:ascii="Times New Roman" w:hAnsi="Times New Roman" w:cs="Times New Roman"/>
          <w:noProof/>
          <w:sz w:val="24"/>
          <w:szCs w:val="24"/>
          <w:lang w:val="en-IE"/>
        </w:rPr>
        <w:t xml:space="preserve">the </w:t>
      </w:r>
      <w:r w:rsidRPr="00575CC5">
        <w:rPr>
          <w:rFonts w:ascii="Times New Roman" w:hAnsi="Times New Roman" w:cs="Times New Roman"/>
          <w:noProof/>
          <w:sz w:val="24"/>
          <w:szCs w:val="24"/>
          <w:lang w:val="en-IE"/>
        </w:rPr>
        <w:t xml:space="preserve">object of a money laundering offence. </w:t>
      </w:r>
      <w:r w:rsidR="00CB0374">
        <w:rPr>
          <w:rFonts w:ascii="Times New Roman" w:hAnsi="Times New Roman" w:cs="Times New Roman"/>
          <w:noProof/>
          <w:sz w:val="24"/>
          <w:szCs w:val="24"/>
          <w:lang w:val="en-IE"/>
        </w:rPr>
        <w:t xml:space="preserve">During the </w:t>
      </w:r>
      <w:r w:rsidR="004E6576">
        <w:rPr>
          <w:rFonts w:ascii="Times New Roman" w:hAnsi="Times New Roman" w:cs="Times New Roman"/>
          <w:noProof/>
          <w:sz w:val="24"/>
          <w:szCs w:val="24"/>
          <w:lang w:val="en-IE"/>
        </w:rPr>
        <w:t xml:space="preserve">consultation with </w:t>
      </w:r>
      <w:r w:rsidR="00B0326F">
        <w:rPr>
          <w:rFonts w:ascii="Times New Roman" w:hAnsi="Times New Roman" w:cs="Times New Roman"/>
          <w:noProof/>
          <w:sz w:val="24"/>
          <w:szCs w:val="24"/>
          <w:lang w:val="en-IE"/>
        </w:rPr>
        <w:t>stakeholders</w:t>
      </w:r>
      <w:r w:rsidR="004E6576">
        <w:rPr>
          <w:rFonts w:ascii="Times New Roman" w:hAnsi="Times New Roman" w:cs="Times New Roman"/>
          <w:noProof/>
          <w:sz w:val="24"/>
          <w:szCs w:val="24"/>
          <w:lang w:val="en-IE"/>
        </w:rPr>
        <w:t>, one</w:t>
      </w:r>
      <w:r w:rsidR="00F060BE">
        <w:rPr>
          <w:rFonts w:ascii="Times New Roman" w:hAnsi="Times New Roman" w:cs="Times New Roman"/>
          <w:noProof/>
          <w:sz w:val="24"/>
          <w:szCs w:val="24"/>
          <w:lang w:val="en-IE"/>
        </w:rPr>
        <w:t xml:space="preserve"> EU body </w:t>
      </w:r>
      <w:r w:rsidR="005B29A3">
        <w:rPr>
          <w:rFonts w:ascii="Times New Roman" w:hAnsi="Times New Roman" w:cs="Times New Roman"/>
          <w:noProof/>
          <w:sz w:val="24"/>
          <w:szCs w:val="24"/>
          <w:lang w:val="en-IE"/>
        </w:rPr>
        <w:t>also</w:t>
      </w:r>
      <w:r w:rsidR="00F060BE">
        <w:rPr>
          <w:rFonts w:ascii="Times New Roman" w:hAnsi="Times New Roman" w:cs="Times New Roman"/>
          <w:noProof/>
          <w:sz w:val="24"/>
          <w:szCs w:val="24"/>
          <w:lang w:val="en-IE"/>
        </w:rPr>
        <w:t xml:space="preserve"> highlighted this issue</w:t>
      </w:r>
      <w:r w:rsidR="000A4DD2">
        <w:rPr>
          <w:rFonts w:ascii="Times New Roman" w:hAnsi="Times New Roman" w:cs="Times New Roman"/>
          <w:noProof/>
          <w:sz w:val="24"/>
          <w:szCs w:val="24"/>
          <w:lang w:val="en-IE"/>
        </w:rPr>
        <w:t xml:space="preserve">, </w:t>
      </w:r>
      <w:r w:rsidR="00B0326F">
        <w:rPr>
          <w:rFonts w:ascii="Times New Roman" w:hAnsi="Times New Roman" w:cs="Times New Roman"/>
          <w:noProof/>
          <w:sz w:val="24"/>
          <w:szCs w:val="24"/>
          <w:lang w:val="en-IE"/>
        </w:rPr>
        <w:t>stressing</w:t>
      </w:r>
      <w:r w:rsidR="000A4DD2">
        <w:rPr>
          <w:rFonts w:ascii="Times New Roman" w:hAnsi="Times New Roman" w:cs="Times New Roman"/>
          <w:noProof/>
          <w:sz w:val="24"/>
          <w:szCs w:val="24"/>
          <w:lang w:val="en-IE"/>
        </w:rPr>
        <w:t xml:space="preserve"> that this </w:t>
      </w:r>
      <w:r w:rsidRPr="00575CC5">
        <w:rPr>
          <w:rFonts w:ascii="Times New Roman" w:hAnsi="Times New Roman" w:cs="Times New Roman"/>
          <w:noProof/>
          <w:sz w:val="24"/>
          <w:szCs w:val="24"/>
          <w:lang w:val="en-IE"/>
        </w:rPr>
        <w:t xml:space="preserve">limitation can have consequences for offences such as VAT and customs fraud, which can involve hundreds of millions of </w:t>
      </w:r>
      <w:r w:rsidR="00E84406" w:rsidRPr="00575CC5">
        <w:rPr>
          <w:rFonts w:ascii="Times New Roman" w:hAnsi="Times New Roman" w:cs="Times New Roman"/>
          <w:noProof/>
          <w:sz w:val="24"/>
          <w:szCs w:val="24"/>
          <w:lang w:val="en-IE"/>
        </w:rPr>
        <w:t>euro</w:t>
      </w:r>
      <w:r w:rsidR="000A4DD2">
        <w:rPr>
          <w:rStyle w:val="FootnoteReference"/>
          <w:rFonts w:ascii="Times New Roman" w:hAnsi="Times New Roman" w:cs="Times New Roman"/>
          <w:noProof/>
          <w:szCs w:val="24"/>
          <w:lang w:val="en-IE"/>
        </w:rPr>
        <w:footnoteReference w:id="25"/>
      </w:r>
      <w:r w:rsidR="00BE7B41" w:rsidRPr="00575CC5">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w:t>
      </w:r>
    </w:p>
    <w:p w14:paraId="32358511" w14:textId="35D3D4C5" w:rsidR="0010170B" w:rsidRPr="00487FC6" w:rsidRDefault="0010170B" w:rsidP="0010170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Although </w:t>
      </w:r>
      <w:r w:rsidR="00487FC6" w:rsidRPr="00487FC6">
        <w:rPr>
          <w:rFonts w:ascii="Times New Roman" w:hAnsi="Times New Roman" w:cs="Times New Roman"/>
          <w:noProof/>
          <w:sz w:val="24"/>
          <w:szCs w:val="24"/>
          <w:lang w:val="en-IE"/>
        </w:rPr>
        <w:t>saved expenses (such as taxes withheld through committing a tax crime)</w:t>
      </w:r>
      <w:r w:rsidR="00487FC6">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are not explicitly mentioned, the Directive’s recitals (13 and 16) clarify that no distinction should be made between </w:t>
      </w:r>
      <w:r w:rsidRPr="00487FC6">
        <w:rPr>
          <w:rFonts w:ascii="Times New Roman" w:hAnsi="Times New Roman" w:cs="Times New Roman"/>
          <w:noProof/>
          <w:sz w:val="24"/>
          <w:szCs w:val="24"/>
          <w:lang w:val="en-IE"/>
        </w:rPr>
        <w:t xml:space="preserve">property derived directly from criminal activity and that derived indirectly. </w:t>
      </w:r>
    </w:p>
    <w:p w14:paraId="14641ECB" w14:textId="52A0ADE5" w:rsidR="00B35E49" w:rsidRPr="00575CC5" w:rsidRDefault="00B35E49" w:rsidP="00161031">
      <w:pPr>
        <w:pStyle w:val="ListParagraph"/>
        <w:numPr>
          <w:ilvl w:val="4"/>
          <w:numId w:val="19"/>
        </w:numPr>
        <w:ind w:left="426" w:right="-2" w:hanging="426"/>
        <w:rPr>
          <w:b/>
          <w:i/>
          <w:noProof/>
          <w:lang w:val="en-IE"/>
        </w:rPr>
      </w:pPr>
      <w:r w:rsidRPr="00575CC5">
        <w:rPr>
          <w:b/>
          <w:i/>
          <w:noProof/>
          <w:lang w:val="en-IE"/>
        </w:rPr>
        <w:t>Harmonised implementation, interpretation and application of stand-alone money laundering (Article 3(3)(a)(b))</w:t>
      </w:r>
    </w:p>
    <w:p w14:paraId="322CDD89" w14:textId="3F2027FD" w:rsidR="002E58CA" w:rsidRPr="00575CC5" w:rsidRDefault="002E58CA" w:rsidP="002E58CA">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 major step </w:t>
      </w:r>
      <w:r w:rsidR="000C132C">
        <w:rPr>
          <w:rFonts w:ascii="Times New Roman" w:hAnsi="Times New Roman" w:cs="Times New Roman"/>
          <w:noProof/>
          <w:sz w:val="24"/>
          <w:szCs w:val="24"/>
          <w:lang w:val="en-IE"/>
        </w:rPr>
        <w:t>taken by</w:t>
      </w:r>
      <w:r w:rsidR="000C132C"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the Directive was </w:t>
      </w:r>
      <w:r w:rsidR="005E4905" w:rsidRPr="00575CC5">
        <w:rPr>
          <w:rFonts w:ascii="Times New Roman" w:hAnsi="Times New Roman" w:cs="Times New Roman"/>
          <w:noProof/>
          <w:sz w:val="24"/>
          <w:szCs w:val="24"/>
          <w:lang w:val="en-IE"/>
        </w:rPr>
        <w:t xml:space="preserve">the introduction of </w:t>
      </w:r>
      <w:r w:rsidR="000C132C">
        <w:rPr>
          <w:rFonts w:ascii="Times New Roman" w:hAnsi="Times New Roman" w:cs="Times New Roman"/>
          <w:noProof/>
          <w:sz w:val="24"/>
          <w:szCs w:val="24"/>
          <w:lang w:val="en-IE"/>
        </w:rPr>
        <w:t xml:space="preserve">provisions on </w:t>
      </w:r>
      <w:r w:rsidR="00A73DC9" w:rsidRPr="00575CC5">
        <w:rPr>
          <w:rFonts w:ascii="Times New Roman" w:hAnsi="Times New Roman" w:cs="Times New Roman"/>
          <w:noProof/>
          <w:sz w:val="24"/>
          <w:szCs w:val="24"/>
          <w:lang w:val="en-IE"/>
        </w:rPr>
        <w:t xml:space="preserve">stand-alone money laundering. This </w:t>
      </w:r>
      <w:r w:rsidRPr="00575CC5">
        <w:rPr>
          <w:rFonts w:ascii="Times New Roman" w:hAnsi="Times New Roman" w:cs="Times New Roman"/>
          <w:noProof/>
          <w:sz w:val="24"/>
          <w:szCs w:val="24"/>
          <w:lang w:val="en-IE"/>
        </w:rPr>
        <w:t>enabl</w:t>
      </w:r>
      <w:r w:rsidR="00A73DC9" w:rsidRPr="00575CC5">
        <w:rPr>
          <w:rFonts w:ascii="Times New Roman" w:hAnsi="Times New Roman" w:cs="Times New Roman"/>
          <w:noProof/>
          <w:sz w:val="24"/>
          <w:szCs w:val="24"/>
          <w:lang w:val="en-IE"/>
        </w:rPr>
        <w:t>es authorities</w:t>
      </w:r>
      <w:r w:rsidRPr="00575CC5">
        <w:rPr>
          <w:rFonts w:ascii="Times New Roman" w:hAnsi="Times New Roman" w:cs="Times New Roman"/>
          <w:noProof/>
          <w:sz w:val="24"/>
          <w:szCs w:val="24"/>
          <w:lang w:val="en-IE"/>
        </w:rPr>
        <w:t xml:space="preserve"> to prosecute and convict a person for money laundering without requiring a prior conviction for the underlying predicate offence that generated the property to be laundered. </w:t>
      </w:r>
      <w:r w:rsidR="00030CC6" w:rsidRPr="00575CC5">
        <w:rPr>
          <w:rFonts w:ascii="Times New Roman" w:hAnsi="Times New Roman" w:cs="Times New Roman"/>
          <w:noProof/>
          <w:sz w:val="24"/>
          <w:szCs w:val="24"/>
          <w:lang w:val="en-IE"/>
        </w:rPr>
        <w:t xml:space="preserve">The intention was to </w:t>
      </w:r>
      <w:r w:rsidR="00703988" w:rsidRPr="00575CC5">
        <w:rPr>
          <w:rFonts w:ascii="Times New Roman" w:hAnsi="Times New Roman" w:cs="Times New Roman"/>
          <w:noProof/>
          <w:sz w:val="24"/>
          <w:szCs w:val="24"/>
          <w:lang w:val="en-IE"/>
        </w:rPr>
        <w:t xml:space="preserve">eliminate </w:t>
      </w:r>
      <w:r w:rsidR="00593027" w:rsidRPr="00575CC5">
        <w:rPr>
          <w:rFonts w:ascii="Times New Roman" w:hAnsi="Times New Roman" w:cs="Times New Roman"/>
          <w:noProof/>
          <w:sz w:val="24"/>
          <w:szCs w:val="24"/>
          <w:lang w:val="en-IE"/>
        </w:rPr>
        <w:t xml:space="preserve">legal and practical barriers </w:t>
      </w:r>
      <w:r w:rsidR="000C132C">
        <w:rPr>
          <w:rFonts w:ascii="Times New Roman" w:hAnsi="Times New Roman" w:cs="Times New Roman"/>
          <w:noProof/>
          <w:sz w:val="24"/>
          <w:szCs w:val="24"/>
          <w:lang w:val="en-IE"/>
        </w:rPr>
        <w:t>to</w:t>
      </w:r>
      <w:r w:rsidR="000C132C" w:rsidRPr="00575CC5">
        <w:rPr>
          <w:rFonts w:ascii="Times New Roman" w:hAnsi="Times New Roman" w:cs="Times New Roman"/>
          <w:noProof/>
          <w:sz w:val="24"/>
          <w:szCs w:val="24"/>
          <w:lang w:val="en-IE"/>
        </w:rPr>
        <w:t xml:space="preserve"> </w:t>
      </w:r>
      <w:r w:rsidR="00593027" w:rsidRPr="00575CC5">
        <w:rPr>
          <w:rFonts w:ascii="Times New Roman" w:hAnsi="Times New Roman" w:cs="Times New Roman"/>
          <w:noProof/>
          <w:sz w:val="24"/>
          <w:szCs w:val="24"/>
          <w:lang w:val="en-IE"/>
        </w:rPr>
        <w:t>investigations and prosecutions</w:t>
      </w:r>
      <w:r w:rsidR="00097605" w:rsidRPr="00575CC5">
        <w:rPr>
          <w:rFonts w:ascii="Times New Roman" w:hAnsi="Times New Roman" w:cs="Times New Roman"/>
          <w:noProof/>
          <w:sz w:val="24"/>
          <w:szCs w:val="24"/>
          <w:lang w:val="en-IE"/>
        </w:rPr>
        <w:t xml:space="preserve">, </w:t>
      </w:r>
      <w:r w:rsidR="000C132C">
        <w:rPr>
          <w:rFonts w:ascii="Times New Roman" w:hAnsi="Times New Roman" w:cs="Times New Roman"/>
          <w:noProof/>
          <w:sz w:val="24"/>
          <w:szCs w:val="24"/>
          <w:lang w:val="en-IE"/>
        </w:rPr>
        <w:t>given</w:t>
      </w:r>
      <w:r w:rsidR="000C132C" w:rsidRPr="00575CC5">
        <w:rPr>
          <w:rFonts w:ascii="Times New Roman" w:hAnsi="Times New Roman" w:cs="Times New Roman"/>
          <w:noProof/>
          <w:sz w:val="24"/>
          <w:szCs w:val="24"/>
          <w:lang w:val="en-IE"/>
        </w:rPr>
        <w:t xml:space="preserve"> </w:t>
      </w:r>
      <w:r w:rsidR="00097605" w:rsidRPr="00575CC5">
        <w:rPr>
          <w:rFonts w:ascii="Times New Roman" w:hAnsi="Times New Roman" w:cs="Times New Roman"/>
          <w:noProof/>
          <w:sz w:val="24"/>
          <w:szCs w:val="24"/>
          <w:lang w:val="en-IE"/>
        </w:rPr>
        <w:t xml:space="preserve">that </w:t>
      </w:r>
      <w:r w:rsidR="000C132C">
        <w:rPr>
          <w:rFonts w:ascii="Times New Roman" w:hAnsi="Times New Roman" w:cs="Times New Roman"/>
          <w:noProof/>
          <w:sz w:val="24"/>
          <w:szCs w:val="24"/>
          <w:lang w:val="en-IE"/>
        </w:rPr>
        <w:t>i</w:t>
      </w:r>
      <w:r w:rsidR="064CA276" w:rsidRPr="00575CC5">
        <w:rPr>
          <w:rFonts w:ascii="Times New Roman" w:hAnsi="Times New Roman" w:cs="Times New Roman"/>
          <w:noProof/>
          <w:sz w:val="24"/>
          <w:szCs w:val="24"/>
          <w:lang w:val="en-IE"/>
        </w:rPr>
        <w:t>t is</w:t>
      </w:r>
      <w:r w:rsidR="000C132C">
        <w:rPr>
          <w:rFonts w:ascii="Times New Roman" w:hAnsi="Times New Roman" w:cs="Times New Roman"/>
          <w:noProof/>
          <w:sz w:val="24"/>
          <w:szCs w:val="24"/>
          <w:lang w:val="en-IE"/>
        </w:rPr>
        <w:t xml:space="preserve"> often</w:t>
      </w:r>
      <w:r w:rsidR="064CA276" w:rsidRPr="00575CC5">
        <w:rPr>
          <w:rFonts w:ascii="Times New Roman" w:hAnsi="Times New Roman" w:cs="Times New Roman"/>
          <w:noProof/>
          <w:sz w:val="24"/>
          <w:szCs w:val="24"/>
          <w:lang w:val="en-IE"/>
        </w:rPr>
        <w:t xml:space="preserve"> difficult to </w:t>
      </w:r>
      <w:r w:rsidR="135CE62A" w:rsidRPr="00575CC5">
        <w:rPr>
          <w:rFonts w:ascii="Times New Roman" w:hAnsi="Times New Roman" w:cs="Times New Roman"/>
          <w:noProof/>
          <w:sz w:val="24"/>
          <w:szCs w:val="24"/>
          <w:lang w:val="en-IE"/>
        </w:rPr>
        <w:t xml:space="preserve">prove a predicate offence from which the </w:t>
      </w:r>
      <w:r w:rsidRPr="00575CC5" w:rsidDel="00097605">
        <w:rPr>
          <w:rFonts w:ascii="Times New Roman" w:hAnsi="Times New Roman" w:cs="Times New Roman"/>
          <w:noProof/>
          <w:sz w:val="24"/>
          <w:szCs w:val="24"/>
          <w:lang w:val="en-IE"/>
        </w:rPr>
        <w:t xml:space="preserve">perpetrator </w:t>
      </w:r>
      <w:r w:rsidR="00097605" w:rsidRPr="00575CC5">
        <w:rPr>
          <w:rFonts w:ascii="Times New Roman" w:hAnsi="Times New Roman" w:cs="Times New Roman"/>
          <w:noProof/>
          <w:sz w:val="24"/>
          <w:szCs w:val="24"/>
          <w:lang w:val="en-IE"/>
        </w:rPr>
        <w:t xml:space="preserve">is </w:t>
      </w:r>
      <w:r w:rsidR="6DD3751A" w:rsidRPr="00575CC5">
        <w:rPr>
          <w:rFonts w:ascii="Times New Roman" w:hAnsi="Times New Roman" w:cs="Times New Roman"/>
          <w:noProof/>
          <w:sz w:val="24"/>
          <w:szCs w:val="24"/>
          <w:lang w:val="en-IE"/>
        </w:rPr>
        <w:t>often</w:t>
      </w:r>
      <w:r w:rsidR="00097605" w:rsidRPr="00575CC5">
        <w:rPr>
          <w:rFonts w:ascii="Times New Roman" w:hAnsi="Times New Roman" w:cs="Times New Roman"/>
          <w:noProof/>
          <w:sz w:val="24"/>
          <w:szCs w:val="24"/>
          <w:lang w:val="en-IE"/>
        </w:rPr>
        <w:t xml:space="preserve"> distant in time and space</w:t>
      </w:r>
      <w:r w:rsidR="00703988" w:rsidRPr="00575CC5">
        <w:rPr>
          <w:rFonts w:ascii="Times New Roman" w:hAnsi="Times New Roman" w:cs="Times New Roman"/>
          <w:noProof/>
          <w:sz w:val="24"/>
          <w:szCs w:val="24"/>
          <w:lang w:val="en-IE"/>
        </w:rPr>
        <w:t xml:space="preserve">. </w:t>
      </w:r>
    </w:p>
    <w:p w14:paraId="4CBF2A6A" w14:textId="2CFF9241" w:rsidR="00030CC6" w:rsidRPr="00575CC5" w:rsidRDefault="003B75EC" w:rsidP="00030CC6">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At the same time, t</w:t>
      </w:r>
      <w:r w:rsidR="00030CC6" w:rsidRPr="00575CC5">
        <w:rPr>
          <w:rFonts w:ascii="Times New Roman" w:hAnsi="Times New Roman" w:cs="Times New Roman"/>
          <w:noProof/>
          <w:sz w:val="24"/>
          <w:szCs w:val="24"/>
          <w:lang w:val="en-IE"/>
        </w:rPr>
        <w:t>he transposition checks and consultations with stakeholders</w:t>
      </w:r>
      <w:r w:rsidR="004B6BC5">
        <w:rPr>
          <w:rFonts w:ascii="Times New Roman" w:hAnsi="Times New Roman" w:cs="Times New Roman"/>
          <w:noProof/>
          <w:sz w:val="24"/>
          <w:szCs w:val="24"/>
          <w:lang w:val="en-IE"/>
        </w:rPr>
        <w:t xml:space="preserve"> (e.g. </w:t>
      </w:r>
      <w:r w:rsidR="003D4390">
        <w:rPr>
          <w:rFonts w:ascii="Times New Roman" w:hAnsi="Times New Roman" w:cs="Times New Roman"/>
          <w:noProof/>
          <w:sz w:val="24"/>
          <w:szCs w:val="24"/>
          <w:lang w:val="en-IE"/>
        </w:rPr>
        <w:t xml:space="preserve">during bilateral meetings </w:t>
      </w:r>
      <w:r w:rsidR="001151D3">
        <w:rPr>
          <w:rFonts w:ascii="Times New Roman" w:hAnsi="Times New Roman" w:cs="Times New Roman"/>
          <w:noProof/>
          <w:sz w:val="24"/>
          <w:szCs w:val="24"/>
          <w:lang w:val="en-IE"/>
        </w:rPr>
        <w:t>with prosecutors</w:t>
      </w:r>
      <w:r w:rsidR="003D4390">
        <w:rPr>
          <w:rFonts w:ascii="Times New Roman" w:hAnsi="Times New Roman" w:cs="Times New Roman"/>
          <w:noProof/>
          <w:sz w:val="24"/>
          <w:szCs w:val="24"/>
          <w:lang w:val="en-IE"/>
        </w:rPr>
        <w:t xml:space="preserve"> or </w:t>
      </w:r>
      <w:r w:rsidR="001151D3">
        <w:rPr>
          <w:rFonts w:ascii="Times New Roman" w:hAnsi="Times New Roman" w:cs="Times New Roman"/>
          <w:noProof/>
          <w:sz w:val="24"/>
          <w:szCs w:val="24"/>
          <w:lang w:val="en-IE"/>
        </w:rPr>
        <w:t>during</w:t>
      </w:r>
      <w:r w:rsidR="003D4390">
        <w:rPr>
          <w:rFonts w:ascii="Times New Roman" w:hAnsi="Times New Roman" w:cs="Times New Roman"/>
          <w:noProof/>
          <w:sz w:val="24"/>
          <w:szCs w:val="24"/>
          <w:lang w:val="en-IE"/>
        </w:rPr>
        <w:t xml:space="preserve"> </w:t>
      </w:r>
      <w:r w:rsidR="00671BBE">
        <w:rPr>
          <w:rFonts w:ascii="Times New Roman" w:hAnsi="Times New Roman" w:cs="Times New Roman"/>
          <w:noProof/>
          <w:sz w:val="24"/>
          <w:szCs w:val="24"/>
          <w:lang w:val="en-IE"/>
        </w:rPr>
        <w:t>the second</w:t>
      </w:r>
      <w:r w:rsidR="003D4390">
        <w:rPr>
          <w:rFonts w:ascii="Times New Roman" w:hAnsi="Times New Roman" w:cs="Times New Roman"/>
          <w:noProof/>
          <w:sz w:val="24"/>
          <w:szCs w:val="24"/>
          <w:lang w:val="en-IE"/>
        </w:rPr>
        <w:t xml:space="preserve"> </w:t>
      </w:r>
      <w:r w:rsidR="00671BBE">
        <w:rPr>
          <w:rFonts w:ascii="Times New Roman" w:hAnsi="Times New Roman" w:cs="Times New Roman"/>
          <w:noProof/>
          <w:sz w:val="24"/>
          <w:szCs w:val="24"/>
          <w:lang w:val="en-IE"/>
        </w:rPr>
        <w:t>E</w:t>
      </w:r>
      <w:r w:rsidR="003D4390">
        <w:rPr>
          <w:rFonts w:ascii="Times New Roman" w:hAnsi="Times New Roman" w:cs="Times New Roman"/>
          <w:noProof/>
          <w:sz w:val="24"/>
          <w:szCs w:val="24"/>
          <w:lang w:val="en-IE"/>
        </w:rPr>
        <w:t>urojust</w:t>
      </w:r>
      <w:r w:rsidR="00671BBE">
        <w:rPr>
          <w:rFonts w:ascii="Times New Roman" w:hAnsi="Times New Roman" w:cs="Times New Roman"/>
          <w:noProof/>
          <w:sz w:val="24"/>
          <w:szCs w:val="24"/>
          <w:lang w:val="en-IE"/>
        </w:rPr>
        <w:t xml:space="preserve"> meeting</w:t>
      </w:r>
      <w:r w:rsidR="003D4390">
        <w:rPr>
          <w:rFonts w:ascii="Times New Roman" w:hAnsi="Times New Roman" w:cs="Times New Roman"/>
          <w:noProof/>
          <w:sz w:val="24"/>
          <w:szCs w:val="24"/>
          <w:lang w:val="en-IE"/>
        </w:rPr>
        <w:t xml:space="preserve"> on </w:t>
      </w:r>
      <w:r w:rsidR="006448D7">
        <w:rPr>
          <w:rFonts w:ascii="Times New Roman" w:hAnsi="Times New Roman" w:cs="Times New Roman"/>
          <w:noProof/>
          <w:sz w:val="24"/>
          <w:szCs w:val="24"/>
          <w:lang w:val="en-IE"/>
        </w:rPr>
        <w:t>m</w:t>
      </w:r>
      <w:r w:rsidR="008E1A73">
        <w:rPr>
          <w:rFonts w:ascii="Times New Roman" w:hAnsi="Times New Roman" w:cs="Times New Roman"/>
          <w:noProof/>
          <w:sz w:val="24"/>
          <w:szCs w:val="24"/>
          <w:lang w:val="en-IE"/>
        </w:rPr>
        <w:t xml:space="preserve">oney </w:t>
      </w:r>
      <w:r w:rsidR="006448D7">
        <w:rPr>
          <w:rFonts w:ascii="Times New Roman" w:hAnsi="Times New Roman" w:cs="Times New Roman"/>
          <w:noProof/>
          <w:sz w:val="24"/>
          <w:szCs w:val="24"/>
          <w:lang w:val="en-IE"/>
        </w:rPr>
        <w:t>l</w:t>
      </w:r>
      <w:r w:rsidR="008E1A73">
        <w:rPr>
          <w:rFonts w:ascii="Times New Roman" w:hAnsi="Times New Roman" w:cs="Times New Roman"/>
          <w:noProof/>
          <w:sz w:val="24"/>
          <w:szCs w:val="24"/>
          <w:lang w:val="en-IE"/>
        </w:rPr>
        <w:t xml:space="preserve">aundering and </w:t>
      </w:r>
      <w:r w:rsidR="006448D7">
        <w:rPr>
          <w:rFonts w:ascii="Times New Roman" w:hAnsi="Times New Roman" w:cs="Times New Roman"/>
          <w:noProof/>
          <w:sz w:val="24"/>
          <w:szCs w:val="24"/>
          <w:lang w:val="en-IE"/>
        </w:rPr>
        <w:t>a</w:t>
      </w:r>
      <w:r w:rsidR="008E1A73">
        <w:rPr>
          <w:rFonts w:ascii="Times New Roman" w:hAnsi="Times New Roman" w:cs="Times New Roman"/>
          <w:noProof/>
          <w:sz w:val="24"/>
          <w:szCs w:val="24"/>
          <w:lang w:val="en-IE"/>
        </w:rPr>
        <w:t xml:space="preserve">sset </w:t>
      </w:r>
      <w:r w:rsidR="006448D7">
        <w:rPr>
          <w:rFonts w:ascii="Times New Roman" w:hAnsi="Times New Roman" w:cs="Times New Roman"/>
          <w:noProof/>
          <w:sz w:val="24"/>
          <w:szCs w:val="24"/>
          <w:lang w:val="en-IE"/>
        </w:rPr>
        <w:t>r</w:t>
      </w:r>
      <w:r w:rsidR="008E1A73">
        <w:rPr>
          <w:rFonts w:ascii="Times New Roman" w:hAnsi="Times New Roman" w:cs="Times New Roman"/>
          <w:noProof/>
          <w:sz w:val="24"/>
          <w:szCs w:val="24"/>
          <w:lang w:val="en-IE"/>
        </w:rPr>
        <w:t>ecovery</w:t>
      </w:r>
      <w:r w:rsidR="00497F78">
        <w:rPr>
          <w:rFonts w:ascii="Times New Roman" w:hAnsi="Times New Roman" w:cs="Times New Roman"/>
          <w:noProof/>
          <w:sz w:val="24"/>
          <w:szCs w:val="24"/>
          <w:lang w:val="en-IE"/>
        </w:rPr>
        <w:t>)</w:t>
      </w:r>
      <w:r w:rsidR="008E1A73" w:rsidRPr="4F99D9FE">
        <w:rPr>
          <w:rStyle w:val="FootnoteReference"/>
          <w:rFonts w:ascii="Times New Roman" w:hAnsi="Times New Roman" w:cs="Times New Roman"/>
          <w:noProof/>
          <w:lang w:val="en-IE"/>
        </w:rPr>
        <w:footnoteReference w:id="26"/>
      </w:r>
      <w:r w:rsidR="00030CC6" w:rsidRPr="00575CC5">
        <w:rPr>
          <w:rFonts w:ascii="Times New Roman" w:hAnsi="Times New Roman" w:cs="Times New Roman"/>
          <w:noProof/>
          <w:sz w:val="24"/>
          <w:szCs w:val="24"/>
          <w:lang w:val="en-IE"/>
        </w:rPr>
        <w:t xml:space="preserve"> </w:t>
      </w:r>
      <w:r w:rsidR="00226064">
        <w:rPr>
          <w:rFonts w:ascii="Times New Roman" w:hAnsi="Times New Roman" w:cs="Times New Roman"/>
          <w:noProof/>
          <w:sz w:val="24"/>
          <w:szCs w:val="24"/>
          <w:lang w:val="en-IE"/>
        </w:rPr>
        <w:t>as well as case work carried out by Eurojust</w:t>
      </w:r>
      <w:r w:rsidR="00226064" w:rsidRPr="4F99D9FE">
        <w:rPr>
          <w:rStyle w:val="FootnoteReference"/>
          <w:rFonts w:ascii="Times New Roman" w:hAnsi="Times New Roman" w:cs="Times New Roman"/>
          <w:noProof/>
          <w:lang w:val="en-IE"/>
        </w:rPr>
        <w:footnoteReference w:id="27"/>
      </w:r>
      <w:r w:rsidR="00226064">
        <w:rPr>
          <w:rFonts w:ascii="Times New Roman" w:hAnsi="Times New Roman" w:cs="Times New Roman"/>
          <w:noProof/>
          <w:sz w:val="24"/>
          <w:szCs w:val="24"/>
          <w:lang w:val="en-IE"/>
        </w:rPr>
        <w:t xml:space="preserve"> </w:t>
      </w:r>
      <w:r w:rsidR="00030CC6" w:rsidRPr="00575CC5">
        <w:rPr>
          <w:rFonts w:ascii="Times New Roman" w:hAnsi="Times New Roman" w:cs="Times New Roman"/>
          <w:noProof/>
          <w:sz w:val="24"/>
          <w:szCs w:val="24"/>
          <w:lang w:val="en-IE"/>
        </w:rPr>
        <w:t>revealed that, although Member States did incorporate stand-alone money laundering into their national legislation, the interpretation of this offence</w:t>
      </w:r>
      <w:r w:rsidR="00AA1DA1">
        <w:rPr>
          <w:rFonts w:ascii="Times New Roman" w:hAnsi="Times New Roman" w:cs="Times New Roman"/>
          <w:noProof/>
          <w:sz w:val="24"/>
          <w:szCs w:val="24"/>
          <w:lang w:val="en-IE"/>
        </w:rPr>
        <w:t xml:space="preserve"> still</w:t>
      </w:r>
      <w:r w:rsidR="00030CC6" w:rsidRPr="00575CC5">
        <w:rPr>
          <w:rFonts w:ascii="Times New Roman" w:hAnsi="Times New Roman" w:cs="Times New Roman"/>
          <w:noProof/>
          <w:sz w:val="24"/>
          <w:szCs w:val="24"/>
          <w:lang w:val="en-IE"/>
        </w:rPr>
        <w:t xml:space="preserve"> varies considerably, particularly as regards the extent to which the predicate offence must be proven</w:t>
      </w:r>
      <w:r w:rsidR="00030CC6" w:rsidRPr="00575CC5">
        <w:rPr>
          <w:rFonts w:ascii="Times New Roman" w:hAnsi="Times New Roman" w:cs="Times New Roman"/>
          <w:noProof/>
          <w:sz w:val="24"/>
          <w:szCs w:val="24"/>
          <w:vertAlign w:val="superscript"/>
        </w:rPr>
        <w:footnoteReference w:id="28"/>
      </w:r>
      <w:r w:rsidR="00030CC6" w:rsidRPr="00575CC5">
        <w:rPr>
          <w:rFonts w:ascii="Times New Roman" w:hAnsi="Times New Roman" w:cs="Times New Roman"/>
          <w:noProof/>
          <w:sz w:val="24"/>
          <w:szCs w:val="24"/>
          <w:lang w:val="en-IE"/>
        </w:rPr>
        <w:t xml:space="preserve">. As a result, in some Member States it is relatively simple to prosecute and convict for stand-alone money laundering, whereas in others the evidentiary threshold for proving the illicit origin of the laundered property remains so high that the situation differs little from the one </w:t>
      </w:r>
      <w:r w:rsidR="00F13F67">
        <w:rPr>
          <w:rFonts w:ascii="Times New Roman" w:hAnsi="Times New Roman" w:cs="Times New Roman"/>
          <w:noProof/>
          <w:sz w:val="24"/>
          <w:szCs w:val="24"/>
          <w:lang w:val="en-IE"/>
        </w:rPr>
        <w:t xml:space="preserve">that existed </w:t>
      </w:r>
      <w:r w:rsidR="00030CC6" w:rsidRPr="00575CC5">
        <w:rPr>
          <w:rFonts w:ascii="Times New Roman" w:hAnsi="Times New Roman" w:cs="Times New Roman"/>
          <w:noProof/>
          <w:sz w:val="24"/>
          <w:szCs w:val="24"/>
          <w:lang w:val="en-IE"/>
        </w:rPr>
        <w:t>before the Directive entered into force</w:t>
      </w:r>
      <w:r w:rsidR="00030CC6" w:rsidRPr="00575CC5">
        <w:rPr>
          <w:rFonts w:ascii="Times New Roman" w:hAnsi="Times New Roman" w:cs="Times New Roman"/>
          <w:noProof/>
          <w:sz w:val="24"/>
          <w:szCs w:val="24"/>
          <w:vertAlign w:val="superscript"/>
        </w:rPr>
        <w:footnoteReference w:id="29"/>
      </w:r>
      <w:r w:rsidR="00030CC6" w:rsidRPr="00575CC5">
        <w:rPr>
          <w:rFonts w:ascii="Times New Roman" w:hAnsi="Times New Roman" w:cs="Times New Roman"/>
          <w:noProof/>
          <w:sz w:val="24"/>
          <w:szCs w:val="24"/>
          <w:lang w:val="en-IE"/>
        </w:rPr>
        <w:t xml:space="preserve">. </w:t>
      </w:r>
      <w:r w:rsidR="00F03B79">
        <w:rPr>
          <w:rFonts w:ascii="Times New Roman" w:hAnsi="Times New Roman" w:cs="Times New Roman"/>
          <w:noProof/>
          <w:sz w:val="24"/>
          <w:szCs w:val="24"/>
          <w:lang w:val="en-IE"/>
        </w:rPr>
        <w:t xml:space="preserve">Therefore, </w:t>
      </w:r>
      <w:r w:rsidR="00AA1DA1">
        <w:rPr>
          <w:rFonts w:ascii="Times New Roman" w:hAnsi="Times New Roman" w:cs="Times New Roman"/>
          <w:noProof/>
          <w:sz w:val="24"/>
          <w:szCs w:val="24"/>
          <w:lang w:val="en-IE"/>
        </w:rPr>
        <w:t xml:space="preserve">there are </w:t>
      </w:r>
      <w:r w:rsidR="00F13F67">
        <w:rPr>
          <w:rFonts w:ascii="Times New Roman" w:hAnsi="Times New Roman" w:cs="Times New Roman"/>
          <w:noProof/>
          <w:sz w:val="24"/>
          <w:szCs w:val="24"/>
          <w:lang w:val="en-IE"/>
        </w:rPr>
        <w:t>significant differences</w:t>
      </w:r>
      <w:r w:rsidR="00AA1DA1">
        <w:rPr>
          <w:rFonts w:ascii="Times New Roman" w:hAnsi="Times New Roman" w:cs="Times New Roman"/>
          <w:noProof/>
          <w:sz w:val="24"/>
          <w:szCs w:val="24"/>
          <w:lang w:val="en-IE"/>
        </w:rPr>
        <w:t xml:space="preserve"> in the</w:t>
      </w:r>
      <w:r w:rsidR="00436450">
        <w:rPr>
          <w:rFonts w:ascii="Times New Roman" w:hAnsi="Times New Roman" w:cs="Times New Roman"/>
          <w:noProof/>
          <w:sz w:val="24"/>
          <w:szCs w:val="24"/>
          <w:lang w:val="en-IE"/>
        </w:rPr>
        <w:t xml:space="preserve"> extent to which the </w:t>
      </w:r>
      <w:r w:rsidR="00436450" w:rsidRPr="00436450">
        <w:rPr>
          <w:rFonts w:ascii="Times New Roman" w:hAnsi="Times New Roman" w:cs="Times New Roman"/>
          <w:noProof/>
          <w:sz w:val="24"/>
          <w:szCs w:val="24"/>
          <w:lang w:val="en-IE"/>
        </w:rPr>
        <w:t>provision</w:t>
      </w:r>
      <w:r w:rsidR="003D6CDD">
        <w:rPr>
          <w:rFonts w:ascii="Times New Roman" w:hAnsi="Times New Roman" w:cs="Times New Roman"/>
          <w:noProof/>
          <w:sz w:val="24"/>
          <w:szCs w:val="24"/>
          <w:lang w:val="en-IE"/>
        </w:rPr>
        <w:t xml:space="preserve"> for stand-alone money laundering has</w:t>
      </w:r>
      <w:r w:rsidR="00436450" w:rsidRPr="00436450">
        <w:rPr>
          <w:rFonts w:ascii="Times New Roman" w:hAnsi="Times New Roman" w:cs="Times New Roman"/>
          <w:noProof/>
          <w:sz w:val="24"/>
          <w:szCs w:val="24"/>
          <w:lang w:val="en-IE"/>
        </w:rPr>
        <w:t xml:space="preserve"> been effectively applied in practice, </w:t>
      </w:r>
      <w:r w:rsidR="006E7B4F">
        <w:rPr>
          <w:rFonts w:ascii="Times New Roman" w:hAnsi="Times New Roman" w:cs="Times New Roman"/>
          <w:noProof/>
          <w:sz w:val="24"/>
          <w:szCs w:val="24"/>
          <w:lang w:val="en-IE"/>
        </w:rPr>
        <w:t>depend</w:t>
      </w:r>
      <w:r w:rsidR="00AA1DA1">
        <w:rPr>
          <w:rFonts w:ascii="Times New Roman" w:hAnsi="Times New Roman" w:cs="Times New Roman"/>
          <w:noProof/>
          <w:sz w:val="24"/>
          <w:szCs w:val="24"/>
          <w:lang w:val="en-IE"/>
        </w:rPr>
        <w:t>ing</w:t>
      </w:r>
      <w:r w:rsidR="006E7B4F">
        <w:rPr>
          <w:rFonts w:ascii="Times New Roman" w:hAnsi="Times New Roman" w:cs="Times New Roman"/>
          <w:noProof/>
          <w:sz w:val="24"/>
          <w:szCs w:val="24"/>
          <w:lang w:val="en-IE"/>
        </w:rPr>
        <w:t xml:space="preserve"> on</w:t>
      </w:r>
      <w:r w:rsidR="00436450" w:rsidRPr="00436450">
        <w:rPr>
          <w:rFonts w:ascii="Times New Roman" w:hAnsi="Times New Roman" w:cs="Times New Roman"/>
          <w:noProof/>
          <w:sz w:val="24"/>
          <w:szCs w:val="24"/>
          <w:lang w:val="en-IE"/>
        </w:rPr>
        <w:t xml:space="preserve"> the </w:t>
      </w:r>
      <w:r w:rsidR="006E7B4F">
        <w:rPr>
          <w:rFonts w:ascii="Times New Roman" w:hAnsi="Times New Roman" w:cs="Times New Roman"/>
          <w:noProof/>
          <w:sz w:val="24"/>
          <w:szCs w:val="24"/>
          <w:lang w:val="en-IE"/>
        </w:rPr>
        <w:t xml:space="preserve">way </w:t>
      </w:r>
      <w:r w:rsidR="00C13F8D">
        <w:rPr>
          <w:rFonts w:ascii="Times New Roman" w:hAnsi="Times New Roman" w:cs="Times New Roman"/>
          <w:noProof/>
          <w:sz w:val="24"/>
          <w:szCs w:val="24"/>
          <w:lang w:val="en-IE"/>
        </w:rPr>
        <w:t xml:space="preserve">in which </w:t>
      </w:r>
      <w:r w:rsidR="006E7B4F">
        <w:rPr>
          <w:rFonts w:ascii="Times New Roman" w:hAnsi="Times New Roman" w:cs="Times New Roman"/>
          <w:noProof/>
          <w:sz w:val="24"/>
          <w:szCs w:val="24"/>
          <w:lang w:val="en-IE"/>
        </w:rPr>
        <w:t xml:space="preserve">Member States transposed the Directive. </w:t>
      </w:r>
      <w:r w:rsidR="00AA1DA1">
        <w:rPr>
          <w:rFonts w:ascii="Times New Roman" w:hAnsi="Times New Roman" w:cs="Times New Roman"/>
          <w:noProof/>
          <w:sz w:val="24"/>
          <w:szCs w:val="24"/>
          <w:lang w:val="en-IE"/>
        </w:rPr>
        <w:t>S</w:t>
      </w:r>
      <w:r w:rsidR="00030CC6" w:rsidRPr="00575CC5">
        <w:rPr>
          <w:rFonts w:ascii="Times New Roman" w:hAnsi="Times New Roman" w:cs="Times New Roman"/>
          <w:noProof/>
          <w:sz w:val="24"/>
          <w:szCs w:val="24"/>
          <w:lang w:val="en-IE"/>
        </w:rPr>
        <w:t xml:space="preserve">everal national courts </w:t>
      </w:r>
      <w:r w:rsidR="6A751009" w:rsidRPr="00575CC5">
        <w:rPr>
          <w:rFonts w:ascii="Times New Roman" w:hAnsi="Times New Roman" w:cs="Times New Roman"/>
          <w:noProof/>
          <w:sz w:val="24"/>
          <w:szCs w:val="24"/>
          <w:lang w:val="en-IE"/>
        </w:rPr>
        <w:t xml:space="preserve">require </w:t>
      </w:r>
      <w:r w:rsidR="70847C58" w:rsidRPr="4F99D9FE">
        <w:rPr>
          <w:rFonts w:ascii="Times New Roman" w:hAnsi="Times New Roman" w:cs="Times New Roman"/>
          <w:noProof/>
          <w:sz w:val="24"/>
          <w:szCs w:val="24"/>
          <w:lang w:val="en-IE"/>
        </w:rPr>
        <w:t>a high level of</w:t>
      </w:r>
      <w:r w:rsidR="00AA1DA1">
        <w:rPr>
          <w:rFonts w:ascii="Times New Roman" w:hAnsi="Times New Roman" w:cs="Times New Roman"/>
          <w:noProof/>
          <w:sz w:val="24"/>
          <w:szCs w:val="24"/>
          <w:lang w:val="en-IE"/>
        </w:rPr>
        <w:t xml:space="preserve"> </w:t>
      </w:r>
      <w:r w:rsidR="00030CC6" w:rsidRPr="00575CC5">
        <w:rPr>
          <w:rFonts w:ascii="Times New Roman" w:hAnsi="Times New Roman" w:cs="Times New Roman"/>
          <w:noProof/>
          <w:sz w:val="24"/>
          <w:szCs w:val="24"/>
          <w:lang w:val="en-IE"/>
        </w:rPr>
        <w:t>proof that a specific predicate offence took place, which makes prosecution particularly difficult in complex or cross-border cases</w:t>
      </w:r>
      <w:r w:rsidR="00030CC6" w:rsidRPr="00575CC5">
        <w:rPr>
          <w:rFonts w:ascii="Times New Roman" w:hAnsi="Times New Roman" w:cs="Times New Roman"/>
          <w:noProof/>
          <w:sz w:val="24"/>
          <w:szCs w:val="24"/>
          <w:vertAlign w:val="superscript"/>
          <w:lang w:val="en-IE"/>
        </w:rPr>
        <w:footnoteReference w:id="30"/>
      </w:r>
      <w:r w:rsidR="00030CC6" w:rsidRPr="00575CC5">
        <w:rPr>
          <w:rFonts w:ascii="Times New Roman" w:hAnsi="Times New Roman" w:cs="Times New Roman"/>
          <w:noProof/>
          <w:sz w:val="24"/>
          <w:szCs w:val="24"/>
          <w:lang w:val="en-IE"/>
        </w:rPr>
        <w:t>.</w:t>
      </w:r>
    </w:p>
    <w:p w14:paraId="20E43A6F" w14:textId="459EE508" w:rsidR="00B35E49" w:rsidRDefault="00B35E49" w:rsidP="004C65AC">
      <w:pPr>
        <w:jc w:val="both"/>
        <w:rPr>
          <w:rFonts w:ascii="Times New Roman" w:hAnsi="Times New Roman" w:cs="Times New Roman"/>
          <w:noProof/>
          <w:sz w:val="24"/>
          <w:szCs w:val="24"/>
          <w:lang w:val="en-IE"/>
        </w:rPr>
      </w:pPr>
      <w:r w:rsidRPr="4F99D9FE">
        <w:rPr>
          <w:rFonts w:ascii="Times New Roman" w:hAnsi="Times New Roman" w:cs="Times New Roman"/>
          <w:noProof/>
          <w:sz w:val="24"/>
          <w:szCs w:val="24"/>
          <w:lang w:val="en-IE"/>
        </w:rPr>
        <w:t>In</w:t>
      </w:r>
      <w:r w:rsidRPr="00575CC5">
        <w:rPr>
          <w:rFonts w:ascii="Times New Roman" w:hAnsi="Times New Roman" w:cs="Times New Roman"/>
          <w:noProof/>
          <w:sz w:val="24"/>
          <w:szCs w:val="24"/>
          <w:lang w:val="en-IE"/>
        </w:rPr>
        <w:t xml:space="preserve"> principle, this is not an issue of transposition</w:t>
      </w:r>
      <w:r w:rsidR="00332C09" w:rsidRPr="00575CC5">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as the Directive’s wording allows for such divergent interpretations</w:t>
      </w:r>
      <w:r w:rsidR="00792440" w:rsidRPr="00575CC5">
        <w:rPr>
          <w:rFonts w:ascii="Times New Roman" w:hAnsi="Times New Roman" w:cs="Times New Roman"/>
          <w:noProof/>
          <w:sz w:val="24"/>
          <w:szCs w:val="24"/>
          <w:lang w:val="en-IE"/>
        </w:rPr>
        <w:t>: the Directive</w:t>
      </w:r>
      <w:r w:rsidRPr="00575CC5">
        <w:rPr>
          <w:rFonts w:ascii="Times New Roman" w:hAnsi="Times New Roman" w:cs="Times New Roman"/>
          <w:noProof/>
          <w:sz w:val="24"/>
          <w:szCs w:val="24"/>
          <w:lang w:val="en-IE"/>
        </w:rPr>
        <w:t xml:space="preserve"> only requires that money laundering should be punishable even in the absence of a conviction and that not all elements of the predicate offence have to be proven. </w:t>
      </w:r>
      <w:r w:rsidR="00AA1DA1">
        <w:rPr>
          <w:rFonts w:ascii="Times New Roman" w:hAnsi="Times New Roman" w:cs="Times New Roman"/>
          <w:noProof/>
          <w:sz w:val="24"/>
          <w:szCs w:val="24"/>
          <w:lang w:val="en-IE"/>
        </w:rPr>
        <w:t xml:space="preserve">As such </w:t>
      </w:r>
      <w:r w:rsidRPr="00575CC5">
        <w:rPr>
          <w:rFonts w:ascii="Times New Roman" w:hAnsi="Times New Roman" w:cs="Times New Roman"/>
          <w:noProof/>
          <w:sz w:val="24"/>
          <w:szCs w:val="24"/>
          <w:lang w:val="en-IE"/>
        </w:rPr>
        <w:t xml:space="preserve">the Directive, while </w:t>
      </w:r>
      <w:r w:rsidR="00E7617E">
        <w:rPr>
          <w:rFonts w:ascii="Times New Roman" w:hAnsi="Times New Roman" w:cs="Times New Roman"/>
          <w:noProof/>
          <w:sz w:val="24"/>
          <w:szCs w:val="24"/>
          <w:lang w:val="en-IE"/>
        </w:rPr>
        <w:t>t</w:t>
      </w:r>
      <w:r w:rsidR="00E7617E" w:rsidRPr="00575CC5">
        <w:rPr>
          <w:rFonts w:ascii="Times New Roman" w:hAnsi="Times New Roman" w:cs="Times New Roman"/>
          <w:noProof/>
          <w:sz w:val="24"/>
          <w:szCs w:val="24"/>
          <w:lang w:val="en-IE"/>
        </w:rPr>
        <w:t xml:space="preserve">aking </w:t>
      </w:r>
      <w:r w:rsidR="00AA1DA1">
        <w:rPr>
          <w:rFonts w:ascii="Times New Roman" w:hAnsi="Times New Roman" w:cs="Times New Roman"/>
          <w:noProof/>
          <w:sz w:val="24"/>
          <w:szCs w:val="24"/>
          <w:lang w:val="en-IE"/>
        </w:rPr>
        <w:t>an important</w:t>
      </w:r>
      <w:r w:rsidRPr="00575CC5">
        <w:rPr>
          <w:rFonts w:ascii="Times New Roman" w:hAnsi="Times New Roman" w:cs="Times New Roman"/>
          <w:noProof/>
          <w:sz w:val="24"/>
          <w:szCs w:val="24"/>
          <w:lang w:val="en-IE"/>
        </w:rPr>
        <w:t xml:space="preserve"> step forward in creating a more uniform legal framework, left a </w:t>
      </w:r>
      <w:r w:rsidR="00E7617E">
        <w:rPr>
          <w:rFonts w:ascii="Times New Roman" w:hAnsi="Times New Roman" w:cs="Times New Roman"/>
          <w:noProof/>
          <w:sz w:val="24"/>
          <w:szCs w:val="24"/>
          <w:lang w:val="en-IE"/>
        </w:rPr>
        <w:t>lot of room</w:t>
      </w:r>
      <w:r w:rsidRPr="00575CC5">
        <w:rPr>
          <w:rFonts w:ascii="Times New Roman" w:hAnsi="Times New Roman" w:cs="Times New Roman"/>
          <w:noProof/>
          <w:sz w:val="24"/>
          <w:szCs w:val="24"/>
          <w:lang w:val="en-IE"/>
        </w:rPr>
        <w:t xml:space="preserve"> for interpretation during transposition and practical application</w:t>
      </w:r>
      <w:r w:rsidR="00E7617E">
        <w:rPr>
          <w:rFonts w:ascii="Times New Roman" w:hAnsi="Times New Roman" w:cs="Times New Roman"/>
          <w:noProof/>
          <w:sz w:val="24"/>
          <w:szCs w:val="24"/>
          <w:lang w:val="en-IE"/>
        </w:rPr>
        <w:t>. This</w:t>
      </w:r>
      <w:r w:rsidR="00AA1DA1">
        <w:rPr>
          <w:rFonts w:ascii="Times New Roman" w:hAnsi="Times New Roman" w:cs="Times New Roman"/>
          <w:noProof/>
          <w:sz w:val="24"/>
          <w:szCs w:val="24"/>
          <w:lang w:val="en-IE"/>
        </w:rPr>
        <w:t xml:space="preserve"> continues to</w:t>
      </w:r>
      <w:r w:rsidR="00D63A94" w:rsidRPr="00575CC5">
        <w:rPr>
          <w:rFonts w:ascii="Times New Roman" w:hAnsi="Times New Roman" w:cs="Times New Roman"/>
          <w:noProof/>
          <w:sz w:val="24"/>
          <w:szCs w:val="24"/>
          <w:lang w:val="en-IE"/>
        </w:rPr>
        <w:t xml:space="preserve"> create difficulties for </w:t>
      </w:r>
      <w:r w:rsidR="00AA1DA1">
        <w:rPr>
          <w:rFonts w:ascii="Times New Roman" w:hAnsi="Times New Roman" w:cs="Times New Roman"/>
          <w:noProof/>
          <w:sz w:val="24"/>
          <w:szCs w:val="24"/>
          <w:lang w:val="en-IE"/>
        </w:rPr>
        <w:t xml:space="preserve">effective cross-border </w:t>
      </w:r>
      <w:r w:rsidR="00D63A94" w:rsidRPr="00575CC5">
        <w:rPr>
          <w:rFonts w:ascii="Times New Roman" w:hAnsi="Times New Roman" w:cs="Times New Roman"/>
          <w:noProof/>
          <w:sz w:val="24"/>
          <w:szCs w:val="24"/>
          <w:lang w:val="en-IE"/>
        </w:rPr>
        <w:t xml:space="preserve">law enforcement and weakens harmonisation across the </w:t>
      </w:r>
      <w:r w:rsidR="00E7617E">
        <w:rPr>
          <w:rFonts w:ascii="Times New Roman" w:hAnsi="Times New Roman" w:cs="Times New Roman"/>
          <w:noProof/>
          <w:sz w:val="24"/>
          <w:szCs w:val="24"/>
          <w:lang w:val="en-IE"/>
        </w:rPr>
        <w:t>EU</w:t>
      </w:r>
      <w:r w:rsidRPr="00575CC5">
        <w:rPr>
          <w:rFonts w:ascii="Times New Roman" w:hAnsi="Times New Roman" w:cs="Times New Roman"/>
          <w:noProof/>
          <w:sz w:val="24"/>
          <w:szCs w:val="24"/>
          <w:lang w:val="en-IE"/>
        </w:rPr>
        <w:t>.</w:t>
      </w:r>
      <w:r w:rsidR="00550378">
        <w:rPr>
          <w:rFonts w:ascii="Times New Roman" w:hAnsi="Times New Roman" w:cs="Times New Roman"/>
          <w:noProof/>
          <w:sz w:val="24"/>
          <w:szCs w:val="24"/>
          <w:lang w:val="en-IE"/>
        </w:rPr>
        <w:t xml:space="preserve"> The effects</w:t>
      </w:r>
      <w:r w:rsidR="007E37C1">
        <w:rPr>
          <w:rFonts w:ascii="Times New Roman" w:hAnsi="Times New Roman" w:cs="Times New Roman"/>
          <w:noProof/>
          <w:sz w:val="24"/>
          <w:szCs w:val="24"/>
          <w:lang w:val="en-IE"/>
        </w:rPr>
        <w:t xml:space="preserve"> on investigations</w:t>
      </w:r>
      <w:r w:rsidR="00550378">
        <w:rPr>
          <w:rFonts w:ascii="Times New Roman" w:hAnsi="Times New Roman" w:cs="Times New Roman"/>
          <w:noProof/>
          <w:sz w:val="24"/>
          <w:szCs w:val="24"/>
          <w:lang w:val="en-IE"/>
        </w:rPr>
        <w:t xml:space="preserve"> for practitioners </w:t>
      </w:r>
      <w:r w:rsidR="7B3C308F" w:rsidRPr="4F99D9FE">
        <w:rPr>
          <w:rFonts w:ascii="Times New Roman" w:hAnsi="Times New Roman" w:cs="Times New Roman"/>
          <w:noProof/>
          <w:sz w:val="24"/>
          <w:szCs w:val="24"/>
          <w:lang w:val="en-IE"/>
        </w:rPr>
        <w:t>are</w:t>
      </w:r>
      <w:r w:rsidR="00550378">
        <w:rPr>
          <w:rFonts w:ascii="Times New Roman" w:hAnsi="Times New Roman" w:cs="Times New Roman"/>
          <w:noProof/>
          <w:sz w:val="24"/>
          <w:szCs w:val="24"/>
          <w:lang w:val="en-IE"/>
        </w:rPr>
        <w:t xml:space="preserve"> further </w:t>
      </w:r>
      <w:r w:rsidR="00EF4D5F">
        <w:rPr>
          <w:rFonts w:ascii="Times New Roman" w:hAnsi="Times New Roman" w:cs="Times New Roman"/>
          <w:noProof/>
          <w:sz w:val="24"/>
          <w:szCs w:val="24"/>
          <w:lang w:val="en-IE"/>
        </w:rPr>
        <w:t xml:space="preserve">elaborated under </w:t>
      </w:r>
      <w:r w:rsidR="00E7617E">
        <w:rPr>
          <w:rFonts w:ascii="Times New Roman" w:hAnsi="Times New Roman" w:cs="Times New Roman"/>
          <w:noProof/>
          <w:sz w:val="24"/>
          <w:szCs w:val="24"/>
          <w:lang w:val="en-IE"/>
        </w:rPr>
        <w:t xml:space="preserve">Section </w:t>
      </w:r>
      <w:r w:rsidR="00EF4D5F">
        <w:rPr>
          <w:rFonts w:ascii="Times New Roman" w:hAnsi="Times New Roman" w:cs="Times New Roman"/>
          <w:noProof/>
          <w:sz w:val="24"/>
          <w:szCs w:val="24"/>
          <w:lang w:val="en-IE"/>
        </w:rPr>
        <w:t>4.1.1.3.</w:t>
      </w:r>
    </w:p>
    <w:p w14:paraId="6EA269E5" w14:textId="77777777" w:rsidR="00B35E49" w:rsidRPr="00575CC5" w:rsidRDefault="00B35E49" w:rsidP="00161031">
      <w:pPr>
        <w:pStyle w:val="ListParagraph"/>
        <w:numPr>
          <w:ilvl w:val="0"/>
          <w:numId w:val="54"/>
        </w:numPr>
        <w:rPr>
          <w:b/>
          <w:i/>
          <w:noProof/>
          <w:szCs w:val="24"/>
          <w:lang w:val="en-IE"/>
        </w:rPr>
      </w:pPr>
      <w:r w:rsidRPr="00575CC5">
        <w:rPr>
          <w:b/>
          <w:i/>
          <w:noProof/>
          <w:szCs w:val="24"/>
          <w:lang w:val="en-IE"/>
        </w:rPr>
        <w:t>Harmonised implementation, interpretation and application of self-laundering (Article 3(5))</w:t>
      </w:r>
    </w:p>
    <w:p w14:paraId="2DA26B16" w14:textId="7BC54BAE" w:rsidR="008D7EB2" w:rsidRDefault="00AC3C00" w:rsidP="00B35E49">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Article 3(5) of the Directive introduces the concept of self-laundering, enabling the prosecution of money laundering even in cases </w:t>
      </w:r>
      <w:r w:rsidR="00A15B6A" w:rsidRPr="00575CC5">
        <w:rPr>
          <w:rFonts w:ascii="Times New Roman" w:hAnsi="Times New Roman" w:cs="Times New Roman"/>
          <w:noProof/>
          <w:sz w:val="24"/>
          <w:szCs w:val="24"/>
          <w:lang w:val="en-IE"/>
        </w:rPr>
        <w:t>where</w:t>
      </w:r>
      <w:r w:rsidRPr="00575CC5">
        <w:rPr>
          <w:rFonts w:ascii="Times New Roman" w:hAnsi="Times New Roman" w:cs="Times New Roman"/>
          <w:noProof/>
          <w:sz w:val="24"/>
          <w:szCs w:val="24"/>
          <w:lang w:val="en-IE"/>
        </w:rPr>
        <w:t xml:space="preserve"> the perpetrator of the predicate offence also laundered the money derived from the offence – something which was not possible in many Member States before the Directive</w:t>
      </w:r>
      <w:r w:rsidR="00A15B6A" w:rsidRPr="00575CC5">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With the application of the Directive, it is now possible for authorities to prosecute self-laundering, at least for the cases of conversion, transfer, concealment or disguise of the property (Art</w:t>
      </w:r>
      <w:r w:rsidR="00E7617E">
        <w:rPr>
          <w:rFonts w:ascii="Times New Roman" w:hAnsi="Times New Roman" w:cs="Times New Roman"/>
          <w:noProof/>
          <w:sz w:val="24"/>
          <w:szCs w:val="24"/>
          <w:lang w:val="en-IE"/>
        </w:rPr>
        <w:t xml:space="preserve">icle </w:t>
      </w:r>
      <w:r w:rsidRPr="00575CC5">
        <w:rPr>
          <w:rFonts w:ascii="Times New Roman" w:hAnsi="Times New Roman" w:cs="Times New Roman"/>
          <w:noProof/>
          <w:sz w:val="24"/>
          <w:szCs w:val="24"/>
          <w:lang w:val="en-IE"/>
        </w:rPr>
        <w:t>3(1)(a) and (b) of the Directive). For the cases of acquisition possession and use</w:t>
      </w:r>
      <w:r w:rsidR="000903EF" w:rsidRPr="00575CC5">
        <w:rPr>
          <w:rFonts w:ascii="Times New Roman" w:hAnsi="Times New Roman" w:cs="Times New Roman"/>
          <w:noProof/>
          <w:sz w:val="24"/>
          <w:szCs w:val="24"/>
          <w:lang w:val="en-IE"/>
        </w:rPr>
        <w:t xml:space="preserve"> (Article 3(1)(c) of the Directive)</w:t>
      </w:r>
      <w:r w:rsidRPr="00575CC5">
        <w:rPr>
          <w:rFonts w:ascii="Times New Roman" w:hAnsi="Times New Roman" w:cs="Times New Roman"/>
          <w:noProof/>
          <w:sz w:val="24"/>
          <w:szCs w:val="24"/>
          <w:lang w:val="en-IE"/>
        </w:rPr>
        <w:t xml:space="preserve"> it was left for Member States to decide if self-laundering should be criminalised. </w:t>
      </w:r>
    </w:p>
    <w:p w14:paraId="1F43F729" w14:textId="47554B1A" w:rsidR="006862C1" w:rsidRPr="004A6F30" w:rsidRDefault="005D0FE6" w:rsidP="007B74D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Overall, this has led to</w:t>
      </w:r>
      <w:r w:rsidR="005B2196" w:rsidRPr="00575CC5">
        <w:rPr>
          <w:rFonts w:ascii="Times New Roman" w:hAnsi="Times New Roman" w:cs="Times New Roman"/>
          <w:noProof/>
          <w:sz w:val="24"/>
          <w:szCs w:val="24"/>
          <w:lang w:val="en-IE"/>
        </w:rPr>
        <w:t xml:space="preserve"> a</w:t>
      </w:r>
      <w:r w:rsidR="00B35E49" w:rsidRPr="00575CC5">
        <w:rPr>
          <w:rFonts w:ascii="Times New Roman" w:hAnsi="Times New Roman" w:cs="Times New Roman"/>
          <w:noProof/>
          <w:sz w:val="24"/>
          <w:szCs w:val="24"/>
          <w:lang w:val="en-IE"/>
        </w:rPr>
        <w:t xml:space="preserve">n approximation of </w:t>
      </w:r>
      <w:r w:rsidR="005B2196" w:rsidRPr="00575CC5">
        <w:rPr>
          <w:rFonts w:ascii="Times New Roman" w:hAnsi="Times New Roman" w:cs="Times New Roman"/>
          <w:noProof/>
          <w:sz w:val="24"/>
          <w:szCs w:val="24"/>
          <w:lang w:val="en-IE"/>
        </w:rPr>
        <w:t>Member State</w:t>
      </w:r>
      <w:r w:rsidR="00AB4A45">
        <w:rPr>
          <w:rFonts w:ascii="Times New Roman" w:hAnsi="Times New Roman" w:cs="Times New Roman"/>
          <w:noProof/>
          <w:sz w:val="24"/>
          <w:szCs w:val="24"/>
          <w:lang w:val="en-IE"/>
        </w:rPr>
        <w:t>s</w:t>
      </w:r>
      <w:r w:rsidR="004543E3">
        <w:rPr>
          <w:rFonts w:ascii="Times New Roman" w:hAnsi="Times New Roman" w:cs="Times New Roman"/>
          <w:noProof/>
          <w:sz w:val="24"/>
          <w:szCs w:val="24"/>
          <w:lang w:val="en-IE"/>
        </w:rPr>
        <w:t>’</w:t>
      </w:r>
      <w:r w:rsidR="005B2196" w:rsidRPr="00575CC5">
        <w:rPr>
          <w:rFonts w:ascii="Times New Roman" w:hAnsi="Times New Roman" w:cs="Times New Roman"/>
          <w:noProof/>
          <w:sz w:val="24"/>
          <w:szCs w:val="24"/>
          <w:lang w:val="en-IE"/>
        </w:rPr>
        <w:t xml:space="preserve"> </w:t>
      </w:r>
      <w:r w:rsidR="00B35E49" w:rsidRPr="00575CC5">
        <w:rPr>
          <w:rFonts w:ascii="Times New Roman" w:hAnsi="Times New Roman" w:cs="Times New Roman"/>
          <w:noProof/>
          <w:sz w:val="24"/>
          <w:szCs w:val="24"/>
          <w:lang w:val="en-IE"/>
        </w:rPr>
        <w:t>laws</w:t>
      </w:r>
      <w:r w:rsidR="00970220" w:rsidRPr="00575CC5">
        <w:rPr>
          <w:rFonts w:ascii="Times New Roman" w:hAnsi="Times New Roman" w:cs="Times New Roman"/>
          <w:noProof/>
          <w:sz w:val="24"/>
          <w:szCs w:val="24"/>
          <w:lang w:val="en-IE"/>
        </w:rPr>
        <w:t xml:space="preserve"> in this area</w:t>
      </w:r>
      <w:r w:rsidR="00B35E4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with a number of differences among Member States</w:t>
      </w:r>
      <w:r w:rsidR="00E7617E">
        <w:rPr>
          <w:rFonts w:ascii="Times New Roman" w:hAnsi="Times New Roman" w:cs="Times New Roman"/>
          <w:noProof/>
          <w:sz w:val="24"/>
          <w:szCs w:val="24"/>
          <w:lang w:val="en-IE"/>
        </w:rPr>
        <w:t>.</w:t>
      </w:r>
      <w:r w:rsidR="00B35E49" w:rsidRPr="00575CC5">
        <w:rPr>
          <w:rFonts w:ascii="Times New Roman" w:hAnsi="Times New Roman" w:cs="Times New Roman"/>
          <w:noProof/>
          <w:sz w:val="24"/>
          <w:szCs w:val="24"/>
          <w:lang w:val="en-IE"/>
        </w:rPr>
        <w:t xml:space="preserve"> </w:t>
      </w:r>
      <w:r w:rsidR="00E7617E">
        <w:rPr>
          <w:rFonts w:ascii="Times New Roman" w:hAnsi="Times New Roman" w:cs="Times New Roman"/>
          <w:noProof/>
          <w:sz w:val="24"/>
          <w:szCs w:val="24"/>
          <w:lang w:val="en-IE"/>
        </w:rPr>
        <w:t>S</w:t>
      </w:r>
      <w:r w:rsidR="00970220" w:rsidRPr="00575CC5">
        <w:rPr>
          <w:rFonts w:ascii="Times New Roman" w:hAnsi="Times New Roman" w:cs="Times New Roman"/>
          <w:noProof/>
          <w:sz w:val="24"/>
          <w:szCs w:val="24"/>
          <w:lang w:val="en-IE"/>
        </w:rPr>
        <w:t xml:space="preserve">ome </w:t>
      </w:r>
      <w:r w:rsidR="00B35E49" w:rsidRPr="00575CC5">
        <w:rPr>
          <w:rFonts w:ascii="Times New Roman" w:hAnsi="Times New Roman" w:cs="Times New Roman"/>
          <w:noProof/>
          <w:sz w:val="24"/>
          <w:szCs w:val="24"/>
          <w:lang w:val="en-IE"/>
        </w:rPr>
        <w:t>have an extensive scope of self-laundering, compris</w:t>
      </w:r>
      <w:r w:rsidR="00970220" w:rsidRPr="00575CC5">
        <w:rPr>
          <w:rFonts w:ascii="Times New Roman" w:hAnsi="Times New Roman" w:cs="Times New Roman"/>
          <w:noProof/>
          <w:sz w:val="24"/>
          <w:szCs w:val="24"/>
          <w:lang w:val="en-IE"/>
        </w:rPr>
        <w:t>ing</w:t>
      </w:r>
      <w:r w:rsidR="00B35E49" w:rsidRPr="00575CC5">
        <w:rPr>
          <w:rFonts w:ascii="Times New Roman" w:hAnsi="Times New Roman" w:cs="Times New Roman"/>
          <w:noProof/>
          <w:sz w:val="24"/>
          <w:szCs w:val="24"/>
          <w:lang w:val="en-IE"/>
        </w:rPr>
        <w:t xml:space="preserve"> acquisition, possession and use</w:t>
      </w:r>
      <w:r w:rsidR="00521092">
        <w:rPr>
          <w:rFonts w:ascii="Times New Roman" w:hAnsi="Times New Roman" w:cs="Times New Roman"/>
          <w:noProof/>
          <w:sz w:val="24"/>
          <w:szCs w:val="24"/>
          <w:lang w:val="en-IE"/>
        </w:rPr>
        <w:t>.</w:t>
      </w:r>
      <w:r w:rsidR="00B35E49" w:rsidRPr="00575CC5">
        <w:rPr>
          <w:rFonts w:ascii="Times New Roman" w:hAnsi="Times New Roman" w:cs="Times New Roman"/>
          <w:noProof/>
          <w:sz w:val="24"/>
          <w:szCs w:val="24"/>
          <w:lang w:val="en-IE"/>
        </w:rPr>
        <w:t xml:space="preserve"> </w:t>
      </w:r>
      <w:r w:rsidR="00521092">
        <w:rPr>
          <w:rFonts w:ascii="Times New Roman" w:hAnsi="Times New Roman" w:cs="Times New Roman"/>
          <w:noProof/>
          <w:sz w:val="24"/>
          <w:szCs w:val="24"/>
          <w:lang w:val="en-IE"/>
        </w:rPr>
        <w:t>O</w:t>
      </w:r>
      <w:r w:rsidR="00B35E49" w:rsidRPr="00575CC5">
        <w:rPr>
          <w:rFonts w:ascii="Times New Roman" w:hAnsi="Times New Roman" w:cs="Times New Roman"/>
          <w:noProof/>
          <w:sz w:val="24"/>
          <w:szCs w:val="24"/>
          <w:lang w:val="en-IE"/>
        </w:rPr>
        <w:t>ther</w:t>
      </w:r>
      <w:r w:rsidR="001D57DF" w:rsidRPr="00575CC5">
        <w:rPr>
          <w:rFonts w:ascii="Times New Roman" w:hAnsi="Times New Roman" w:cs="Times New Roman"/>
          <w:noProof/>
          <w:sz w:val="24"/>
          <w:szCs w:val="24"/>
          <w:lang w:val="en-IE"/>
        </w:rPr>
        <w:t xml:space="preserve">s </w:t>
      </w:r>
      <w:r w:rsidR="00D9418C" w:rsidRPr="00575CC5">
        <w:rPr>
          <w:rFonts w:ascii="Times New Roman" w:hAnsi="Times New Roman" w:cs="Times New Roman"/>
          <w:noProof/>
          <w:sz w:val="24"/>
          <w:szCs w:val="24"/>
          <w:lang w:val="en-IE"/>
        </w:rPr>
        <w:t>do</w:t>
      </w:r>
      <w:r w:rsidR="008D7EB2">
        <w:rPr>
          <w:rFonts w:ascii="Times New Roman" w:hAnsi="Times New Roman" w:cs="Times New Roman"/>
          <w:noProof/>
          <w:sz w:val="24"/>
          <w:szCs w:val="24"/>
          <w:lang w:val="en-IE"/>
        </w:rPr>
        <w:t xml:space="preserve"> </w:t>
      </w:r>
      <w:r w:rsidR="00D9418C" w:rsidRPr="00575CC5">
        <w:rPr>
          <w:rFonts w:ascii="Times New Roman" w:hAnsi="Times New Roman" w:cs="Times New Roman"/>
          <w:noProof/>
          <w:sz w:val="24"/>
          <w:szCs w:val="24"/>
          <w:lang w:val="en-IE"/>
        </w:rPr>
        <w:t>n</w:t>
      </w:r>
      <w:r w:rsidR="008D7EB2">
        <w:rPr>
          <w:rFonts w:ascii="Times New Roman" w:hAnsi="Times New Roman" w:cs="Times New Roman"/>
          <w:noProof/>
          <w:sz w:val="24"/>
          <w:szCs w:val="24"/>
          <w:lang w:val="en-IE"/>
        </w:rPr>
        <w:t>o</w:t>
      </w:r>
      <w:r w:rsidR="00D9418C" w:rsidRPr="00575CC5">
        <w:rPr>
          <w:rFonts w:ascii="Times New Roman" w:hAnsi="Times New Roman" w:cs="Times New Roman"/>
          <w:noProof/>
          <w:sz w:val="24"/>
          <w:szCs w:val="24"/>
          <w:lang w:val="en-IE"/>
        </w:rPr>
        <w:t>t</w:t>
      </w:r>
      <w:r w:rsidR="008D7EB2">
        <w:rPr>
          <w:rFonts w:ascii="Times New Roman" w:hAnsi="Times New Roman" w:cs="Times New Roman"/>
          <w:noProof/>
          <w:sz w:val="24"/>
          <w:szCs w:val="24"/>
          <w:lang w:val="en-IE"/>
        </w:rPr>
        <w:t>,</w:t>
      </w:r>
      <w:r w:rsidR="00096D30">
        <w:rPr>
          <w:rFonts w:ascii="Times New Roman" w:hAnsi="Times New Roman" w:cs="Times New Roman"/>
          <w:noProof/>
          <w:sz w:val="24"/>
          <w:szCs w:val="24"/>
          <w:lang w:val="en-IE"/>
        </w:rPr>
        <w:t xml:space="preserve"> </w:t>
      </w:r>
      <w:r w:rsidR="00D9418C" w:rsidRPr="00575CC5">
        <w:rPr>
          <w:rFonts w:ascii="Times New Roman" w:hAnsi="Times New Roman" w:cs="Times New Roman"/>
          <w:noProof/>
          <w:sz w:val="24"/>
          <w:szCs w:val="24"/>
          <w:lang w:val="en-IE"/>
        </w:rPr>
        <w:t>even</w:t>
      </w:r>
      <w:r w:rsidR="001D57DF" w:rsidRPr="00575CC5">
        <w:rPr>
          <w:rFonts w:ascii="Times New Roman" w:hAnsi="Times New Roman" w:cs="Times New Roman"/>
          <w:noProof/>
          <w:sz w:val="24"/>
          <w:szCs w:val="24"/>
          <w:lang w:val="en-IE"/>
        </w:rPr>
        <w:t xml:space="preserve"> </w:t>
      </w:r>
      <w:r w:rsidR="005A5ADB" w:rsidRPr="00575CC5">
        <w:rPr>
          <w:rFonts w:ascii="Times New Roman" w:hAnsi="Times New Roman" w:cs="Times New Roman"/>
          <w:noProof/>
          <w:sz w:val="24"/>
          <w:szCs w:val="24"/>
          <w:lang w:val="en-IE"/>
        </w:rPr>
        <w:t>introduc</w:t>
      </w:r>
      <w:r w:rsidR="008D7EB2">
        <w:rPr>
          <w:rFonts w:ascii="Times New Roman" w:hAnsi="Times New Roman" w:cs="Times New Roman"/>
          <w:noProof/>
          <w:sz w:val="24"/>
          <w:szCs w:val="24"/>
          <w:lang w:val="en-IE"/>
        </w:rPr>
        <w:t>ing</w:t>
      </w:r>
      <w:r w:rsidR="005A5ADB" w:rsidRPr="00575CC5">
        <w:rPr>
          <w:rFonts w:ascii="Times New Roman" w:hAnsi="Times New Roman" w:cs="Times New Roman"/>
          <w:noProof/>
          <w:sz w:val="24"/>
          <w:szCs w:val="24"/>
          <w:lang w:val="en-IE"/>
        </w:rPr>
        <w:t xml:space="preserve"> additional </w:t>
      </w:r>
      <w:r w:rsidR="6D8B74A9" w:rsidRPr="00575CC5">
        <w:rPr>
          <w:rFonts w:ascii="Times New Roman" w:hAnsi="Times New Roman" w:cs="Times New Roman"/>
          <w:noProof/>
          <w:sz w:val="24"/>
          <w:szCs w:val="24"/>
          <w:lang w:val="en-IE"/>
        </w:rPr>
        <w:t>requirements</w:t>
      </w:r>
      <w:r w:rsidR="005A5ADB" w:rsidRPr="00575CC5">
        <w:rPr>
          <w:rFonts w:ascii="Times New Roman" w:hAnsi="Times New Roman" w:cs="Times New Roman"/>
          <w:noProof/>
          <w:sz w:val="24"/>
          <w:szCs w:val="24"/>
          <w:lang w:val="en-IE"/>
        </w:rPr>
        <w:t xml:space="preserve">, </w:t>
      </w:r>
      <w:r w:rsidR="484B3A08" w:rsidRPr="4F99D9FE">
        <w:rPr>
          <w:rFonts w:ascii="Times New Roman" w:hAnsi="Times New Roman" w:cs="Times New Roman"/>
          <w:noProof/>
          <w:sz w:val="24"/>
          <w:szCs w:val="24"/>
          <w:lang w:val="en-IE"/>
        </w:rPr>
        <w:t>for example,</w:t>
      </w:r>
      <w:r w:rsidR="008D7EB2">
        <w:rPr>
          <w:rFonts w:ascii="Times New Roman" w:hAnsi="Times New Roman" w:cs="Times New Roman"/>
          <w:noProof/>
          <w:sz w:val="24"/>
          <w:szCs w:val="24"/>
          <w:lang w:val="en-IE"/>
        </w:rPr>
        <w:t xml:space="preserve"> that </w:t>
      </w:r>
      <w:r w:rsidR="00B35E49" w:rsidRPr="00575CC5">
        <w:rPr>
          <w:rFonts w:ascii="Times New Roman" w:hAnsi="Times New Roman" w:cs="Times New Roman"/>
          <w:noProof/>
          <w:sz w:val="24"/>
          <w:szCs w:val="24"/>
          <w:lang w:val="en-IE"/>
        </w:rPr>
        <w:t>self-laundering can only be punishable if the laundered property is brought into circulation.</w:t>
      </w:r>
      <w:r w:rsidR="005A5ADB" w:rsidRPr="00575CC5">
        <w:rPr>
          <w:rFonts w:ascii="Times New Roman" w:hAnsi="Times New Roman" w:cs="Times New Roman"/>
          <w:noProof/>
          <w:sz w:val="24"/>
          <w:szCs w:val="24"/>
          <w:lang w:val="en-IE"/>
        </w:rPr>
        <w:t xml:space="preserve"> </w:t>
      </w:r>
      <w:r w:rsidR="00096D30">
        <w:rPr>
          <w:rFonts w:ascii="Times New Roman" w:hAnsi="Times New Roman" w:cs="Times New Roman"/>
          <w:noProof/>
          <w:sz w:val="24"/>
          <w:szCs w:val="24"/>
          <w:lang w:val="en-IE"/>
        </w:rPr>
        <w:t xml:space="preserve">These differences </w:t>
      </w:r>
      <w:r w:rsidR="00D9418C" w:rsidRPr="00575CC5">
        <w:rPr>
          <w:rFonts w:ascii="Times New Roman" w:hAnsi="Times New Roman" w:cs="Times New Roman"/>
          <w:noProof/>
          <w:sz w:val="24"/>
          <w:szCs w:val="24"/>
          <w:lang w:val="en-IE"/>
        </w:rPr>
        <w:t>derive not only from the option</w:t>
      </w:r>
      <w:r w:rsidR="00291AF1" w:rsidRPr="00575CC5">
        <w:rPr>
          <w:rFonts w:ascii="Times New Roman" w:hAnsi="Times New Roman" w:cs="Times New Roman"/>
          <w:noProof/>
          <w:sz w:val="24"/>
          <w:szCs w:val="24"/>
          <w:lang w:val="en-IE"/>
        </w:rPr>
        <w:t>al nature</w:t>
      </w:r>
      <w:r w:rsidR="5B06FD42" w:rsidRPr="00575CC5">
        <w:rPr>
          <w:rFonts w:ascii="Times New Roman" w:hAnsi="Times New Roman" w:cs="Times New Roman"/>
          <w:noProof/>
          <w:sz w:val="24"/>
          <w:szCs w:val="24"/>
          <w:lang w:val="en-IE"/>
        </w:rPr>
        <w:t xml:space="preserve"> of self-laundering for the </w:t>
      </w:r>
      <w:r w:rsidR="5B06FD42" w:rsidRPr="00720E14">
        <w:rPr>
          <w:rFonts w:ascii="Times New Roman" w:hAnsi="Times New Roman" w:cs="Times New Roman"/>
          <w:noProof/>
          <w:sz w:val="24"/>
          <w:szCs w:val="24"/>
          <w:lang w:val="en-IE"/>
        </w:rPr>
        <w:t>offences of acquisition</w:t>
      </w:r>
      <w:r w:rsidR="008D7EB2" w:rsidRPr="00720E14">
        <w:rPr>
          <w:rFonts w:ascii="Times New Roman" w:hAnsi="Times New Roman" w:cs="Times New Roman"/>
          <w:noProof/>
          <w:sz w:val="24"/>
          <w:szCs w:val="24"/>
          <w:lang w:val="en-IE"/>
        </w:rPr>
        <w:t>,</w:t>
      </w:r>
      <w:r w:rsidR="5B06FD42" w:rsidRPr="00720E14">
        <w:rPr>
          <w:rFonts w:ascii="Times New Roman" w:hAnsi="Times New Roman" w:cs="Times New Roman"/>
          <w:noProof/>
          <w:sz w:val="24"/>
          <w:szCs w:val="24"/>
          <w:lang w:val="en-IE"/>
        </w:rPr>
        <w:t xml:space="preserve"> possession and use as regulated in</w:t>
      </w:r>
      <w:r w:rsidR="00291AF1" w:rsidRPr="00720E14">
        <w:rPr>
          <w:rFonts w:ascii="Times New Roman" w:hAnsi="Times New Roman" w:cs="Times New Roman"/>
          <w:noProof/>
          <w:sz w:val="24"/>
          <w:szCs w:val="24"/>
          <w:lang w:val="en-IE"/>
        </w:rPr>
        <w:t xml:space="preserve"> Article</w:t>
      </w:r>
      <w:r w:rsidR="004021B5">
        <w:rPr>
          <w:rFonts w:ascii="Times New Roman" w:hAnsi="Times New Roman" w:cs="Times New Roman"/>
          <w:noProof/>
          <w:sz w:val="24"/>
          <w:szCs w:val="24"/>
        </w:rPr>
        <w:t> </w:t>
      </w:r>
      <w:r w:rsidR="004021B5" w:rsidRPr="00A908E5">
        <w:rPr>
          <w:rFonts w:ascii="Times New Roman" w:hAnsi="Times New Roman" w:cs="Times New Roman"/>
          <w:noProof/>
          <w:sz w:val="24"/>
          <w:szCs w:val="24"/>
        </w:rPr>
        <w:t>3</w:t>
      </w:r>
      <w:r w:rsidR="00291AF1" w:rsidRPr="00720E14">
        <w:rPr>
          <w:rFonts w:ascii="Times New Roman" w:hAnsi="Times New Roman" w:cs="Times New Roman"/>
          <w:noProof/>
          <w:sz w:val="24"/>
          <w:szCs w:val="24"/>
          <w:lang w:val="en-IE"/>
        </w:rPr>
        <w:t>(1)(c) but also from</w:t>
      </w:r>
      <w:r w:rsidR="00D9418C" w:rsidRPr="00720E14">
        <w:rPr>
          <w:rFonts w:ascii="Times New Roman" w:hAnsi="Times New Roman" w:cs="Times New Roman"/>
          <w:noProof/>
          <w:sz w:val="24"/>
          <w:szCs w:val="24"/>
          <w:lang w:val="en-IE"/>
        </w:rPr>
        <w:t xml:space="preserve"> the indication</w:t>
      </w:r>
      <w:r w:rsidR="00291AF1" w:rsidRPr="00720E14">
        <w:rPr>
          <w:rFonts w:ascii="Times New Roman" w:hAnsi="Times New Roman" w:cs="Times New Roman"/>
          <w:noProof/>
          <w:sz w:val="24"/>
          <w:szCs w:val="24"/>
          <w:lang w:val="en-IE"/>
        </w:rPr>
        <w:t xml:space="preserve">s of flexibility that the Directive provides in </w:t>
      </w:r>
      <w:r w:rsidR="0029638C" w:rsidRPr="00720E14">
        <w:rPr>
          <w:rFonts w:ascii="Times New Roman" w:hAnsi="Times New Roman" w:cs="Times New Roman"/>
          <w:noProof/>
          <w:sz w:val="24"/>
          <w:szCs w:val="24"/>
          <w:lang w:val="en-IE"/>
        </w:rPr>
        <w:t xml:space="preserve">this area as per </w:t>
      </w:r>
      <w:r w:rsidR="00291AF1" w:rsidRPr="00720E14">
        <w:rPr>
          <w:rFonts w:ascii="Times New Roman" w:hAnsi="Times New Roman" w:cs="Times New Roman"/>
          <w:noProof/>
          <w:sz w:val="24"/>
          <w:szCs w:val="24"/>
          <w:lang w:val="en-IE"/>
        </w:rPr>
        <w:t>recital 11</w:t>
      </w:r>
      <w:r w:rsidR="00096D30" w:rsidRPr="00720E14">
        <w:rPr>
          <w:rStyle w:val="FootnoteReference"/>
          <w:rFonts w:ascii="Times New Roman" w:hAnsi="Times New Roman" w:cs="Times New Roman"/>
          <w:noProof/>
          <w:szCs w:val="24"/>
          <w:lang w:val="en-IE"/>
        </w:rPr>
        <w:footnoteReference w:id="31"/>
      </w:r>
      <w:r w:rsidR="00096D30" w:rsidRPr="00720E14">
        <w:rPr>
          <w:rFonts w:ascii="Times New Roman" w:hAnsi="Times New Roman" w:cs="Times New Roman"/>
          <w:noProof/>
          <w:sz w:val="24"/>
          <w:szCs w:val="24"/>
          <w:lang w:val="en-IE"/>
        </w:rPr>
        <w:t xml:space="preserve">. Therefore, </w:t>
      </w:r>
      <w:r w:rsidR="00CB7536" w:rsidRPr="00720E14">
        <w:rPr>
          <w:rFonts w:ascii="Times New Roman" w:hAnsi="Times New Roman" w:cs="Times New Roman"/>
          <w:noProof/>
          <w:sz w:val="24"/>
          <w:szCs w:val="24"/>
          <w:lang w:val="en-IE"/>
        </w:rPr>
        <w:t>it is worth continuing the analysis of th</w:t>
      </w:r>
      <w:r w:rsidR="00C95246" w:rsidRPr="00720E14">
        <w:rPr>
          <w:rFonts w:ascii="Times New Roman" w:hAnsi="Times New Roman" w:cs="Times New Roman"/>
          <w:noProof/>
          <w:sz w:val="24"/>
          <w:szCs w:val="24"/>
          <w:lang w:val="en-IE"/>
        </w:rPr>
        <w:t xml:space="preserve">e </w:t>
      </w:r>
      <w:r w:rsidR="00720E14" w:rsidRPr="00F02686">
        <w:rPr>
          <w:rFonts w:ascii="Times New Roman" w:hAnsi="Times New Roman" w:cs="Times New Roman"/>
          <w:noProof/>
          <w:sz w:val="24"/>
          <w:szCs w:val="24"/>
          <w:lang w:val="en-IE"/>
        </w:rPr>
        <w:t>concrete application</w:t>
      </w:r>
      <w:r w:rsidR="00720E14" w:rsidRPr="00720E14">
        <w:rPr>
          <w:rFonts w:ascii="Times New Roman" w:hAnsi="Times New Roman" w:cs="Times New Roman"/>
          <w:noProof/>
          <w:sz w:val="24"/>
          <w:szCs w:val="24"/>
          <w:lang w:val="en-IE"/>
        </w:rPr>
        <w:t xml:space="preserve"> </w:t>
      </w:r>
      <w:r w:rsidR="00C95246" w:rsidRPr="00720E14">
        <w:rPr>
          <w:rFonts w:ascii="Times New Roman" w:hAnsi="Times New Roman" w:cs="Times New Roman"/>
          <w:noProof/>
          <w:sz w:val="24"/>
          <w:szCs w:val="24"/>
          <w:lang w:val="en-IE"/>
        </w:rPr>
        <w:t xml:space="preserve">of self-laundering in the long-term, to understand whether the </w:t>
      </w:r>
      <w:r w:rsidR="004021B5">
        <w:rPr>
          <w:rFonts w:ascii="Times New Roman" w:hAnsi="Times New Roman" w:cs="Times New Roman"/>
          <w:noProof/>
          <w:sz w:val="24"/>
          <w:szCs w:val="24"/>
          <w:lang w:val="en-IE"/>
        </w:rPr>
        <w:t>differences</w:t>
      </w:r>
      <w:r w:rsidR="00521092" w:rsidRPr="00720E14">
        <w:rPr>
          <w:rFonts w:ascii="Times New Roman" w:hAnsi="Times New Roman" w:cs="Times New Roman"/>
          <w:noProof/>
          <w:sz w:val="24"/>
          <w:szCs w:val="24"/>
          <w:lang w:val="en-IE"/>
        </w:rPr>
        <w:t xml:space="preserve"> </w:t>
      </w:r>
      <w:r w:rsidR="00C95246" w:rsidRPr="00720E14">
        <w:rPr>
          <w:rFonts w:ascii="Times New Roman" w:hAnsi="Times New Roman" w:cs="Times New Roman"/>
          <w:noProof/>
          <w:sz w:val="24"/>
          <w:szCs w:val="24"/>
          <w:lang w:val="en-IE"/>
        </w:rPr>
        <w:t xml:space="preserve">could create any problem in practice, in particular </w:t>
      </w:r>
      <w:r w:rsidR="00521092">
        <w:rPr>
          <w:rFonts w:ascii="Times New Roman" w:hAnsi="Times New Roman" w:cs="Times New Roman"/>
          <w:noProof/>
          <w:sz w:val="24"/>
          <w:szCs w:val="24"/>
          <w:lang w:val="en-IE"/>
        </w:rPr>
        <w:t>with respect to</w:t>
      </w:r>
      <w:r w:rsidR="00521092" w:rsidRPr="00720E14">
        <w:rPr>
          <w:rFonts w:ascii="Times New Roman" w:hAnsi="Times New Roman" w:cs="Times New Roman"/>
          <w:noProof/>
          <w:sz w:val="24"/>
          <w:szCs w:val="24"/>
          <w:lang w:val="en-IE"/>
        </w:rPr>
        <w:t xml:space="preserve"> </w:t>
      </w:r>
      <w:r w:rsidR="00C95246" w:rsidRPr="00720E14">
        <w:rPr>
          <w:rFonts w:ascii="Times New Roman" w:hAnsi="Times New Roman" w:cs="Times New Roman"/>
          <w:noProof/>
          <w:sz w:val="24"/>
          <w:szCs w:val="24"/>
          <w:lang w:val="en-IE"/>
        </w:rPr>
        <w:t>cross-border cooperation</w:t>
      </w:r>
      <w:r w:rsidR="00096D30" w:rsidRPr="00720E14">
        <w:rPr>
          <w:rFonts w:ascii="Times New Roman" w:hAnsi="Times New Roman" w:cs="Times New Roman"/>
          <w:noProof/>
          <w:sz w:val="24"/>
          <w:szCs w:val="24"/>
          <w:lang w:val="en-IE"/>
        </w:rPr>
        <w:t>.</w:t>
      </w:r>
      <w:r w:rsidR="00096D30">
        <w:rPr>
          <w:rFonts w:ascii="Times New Roman" w:hAnsi="Times New Roman" w:cs="Times New Roman"/>
          <w:noProof/>
          <w:sz w:val="24"/>
          <w:szCs w:val="24"/>
          <w:lang w:val="en-IE"/>
        </w:rPr>
        <w:t xml:space="preserve"> Another aspect t</w:t>
      </w:r>
      <w:r w:rsidR="77D85722" w:rsidRPr="1764AB1E">
        <w:rPr>
          <w:rFonts w:ascii="Times New Roman" w:hAnsi="Times New Roman" w:cs="Times New Roman"/>
          <w:noProof/>
          <w:sz w:val="24"/>
          <w:szCs w:val="24"/>
          <w:lang w:val="en-IE"/>
        </w:rPr>
        <w:t>o</w:t>
      </w:r>
      <w:r w:rsidR="77D85722" w:rsidRPr="49C69C95">
        <w:rPr>
          <w:rFonts w:ascii="Times New Roman" w:hAnsi="Times New Roman" w:cs="Times New Roman"/>
          <w:noProof/>
          <w:sz w:val="24"/>
          <w:szCs w:val="24"/>
          <w:lang w:val="en-IE"/>
        </w:rPr>
        <w:t xml:space="preserve"> further monitor and assess is the effect on the</w:t>
      </w:r>
      <w:r w:rsidR="00D7756A" w:rsidRPr="00575CC5">
        <w:rPr>
          <w:rFonts w:ascii="Times New Roman" w:hAnsi="Times New Roman" w:cs="Times New Roman"/>
          <w:noProof/>
          <w:sz w:val="24"/>
          <w:szCs w:val="24"/>
          <w:lang w:val="en-IE"/>
        </w:rPr>
        <w:t xml:space="preserve"> right to defence</w:t>
      </w:r>
      <w:r w:rsidR="00494B31">
        <w:rPr>
          <w:rFonts w:ascii="Times New Roman" w:hAnsi="Times New Roman" w:cs="Times New Roman"/>
          <w:noProof/>
          <w:sz w:val="24"/>
          <w:szCs w:val="24"/>
          <w:lang w:val="en-IE"/>
        </w:rPr>
        <w:t xml:space="preserve"> </w:t>
      </w:r>
      <w:r w:rsidR="006C444A">
        <w:rPr>
          <w:rFonts w:ascii="Times New Roman" w:hAnsi="Times New Roman" w:cs="Times New Roman"/>
          <w:noProof/>
          <w:sz w:val="24"/>
          <w:szCs w:val="24"/>
          <w:lang w:val="en-IE"/>
        </w:rPr>
        <w:t>(</w:t>
      </w:r>
      <w:r w:rsidR="000C10CC">
        <w:rPr>
          <w:rFonts w:ascii="Times New Roman" w:hAnsi="Times New Roman" w:cs="Times New Roman"/>
          <w:noProof/>
          <w:sz w:val="24"/>
          <w:szCs w:val="24"/>
          <w:lang w:val="en-IE"/>
        </w:rPr>
        <w:t xml:space="preserve">regarding </w:t>
      </w:r>
      <w:r w:rsidR="006C444A">
        <w:rPr>
          <w:rFonts w:ascii="Times New Roman" w:hAnsi="Times New Roman" w:cs="Times New Roman"/>
          <w:noProof/>
          <w:sz w:val="24"/>
          <w:szCs w:val="24"/>
          <w:lang w:val="en-IE"/>
        </w:rPr>
        <w:t>the effect on fundamental rights</w:t>
      </w:r>
      <w:r w:rsidR="000C10CC">
        <w:rPr>
          <w:rFonts w:ascii="Times New Roman" w:hAnsi="Times New Roman" w:cs="Times New Roman"/>
          <w:noProof/>
          <w:sz w:val="24"/>
          <w:szCs w:val="24"/>
          <w:lang w:val="en-IE"/>
        </w:rPr>
        <w:t>,</w:t>
      </w:r>
      <w:r w:rsidR="006C444A">
        <w:rPr>
          <w:rFonts w:ascii="Times New Roman" w:hAnsi="Times New Roman" w:cs="Times New Roman"/>
          <w:noProof/>
          <w:sz w:val="24"/>
          <w:szCs w:val="24"/>
          <w:lang w:val="en-IE"/>
        </w:rPr>
        <w:t xml:space="preserve"> see more details below </w:t>
      </w:r>
      <w:r w:rsidR="000C10CC">
        <w:rPr>
          <w:rFonts w:ascii="Times New Roman" w:hAnsi="Times New Roman" w:cs="Times New Roman"/>
          <w:noProof/>
          <w:sz w:val="24"/>
          <w:szCs w:val="24"/>
          <w:lang w:val="en-IE"/>
        </w:rPr>
        <w:t>in Section</w:t>
      </w:r>
      <w:r w:rsidR="006C444A">
        <w:rPr>
          <w:rFonts w:ascii="Times New Roman" w:hAnsi="Times New Roman" w:cs="Times New Roman"/>
          <w:noProof/>
          <w:sz w:val="24"/>
          <w:szCs w:val="24"/>
          <w:lang w:val="en-IE"/>
        </w:rPr>
        <w:t xml:space="preserve"> 4.2.2.)</w:t>
      </w:r>
      <w:r w:rsidR="00291AF1" w:rsidRPr="00575CC5">
        <w:rPr>
          <w:rFonts w:ascii="Times New Roman" w:hAnsi="Times New Roman" w:cs="Times New Roman"/>
          <w:noProof/>
          <w:sz w:val="24"/>
          <w:szCs w:val="24"/>
          <w:lang w:val="en-IE"/>
        </w:rPr>
        <w:t>.</w:t>
      </w:r>
      <w:r w:rsidR="005A5ADB" w:rsidRPr="00575CC5">
        <w:rPr>
          <w:rFonts w:ascii="Times New Roman" w:hAnsi="Times New Roman" w:cs="Times New Roman"/>
          <w:noProof/>
          <w:sz w:val="24"/>
          <w:szCs w:val="24"/>
          <w:lang w:val="en-IE"/>
        </w:rPr>
        <w:t xml:space="preserve"> </w:t>
      </w:r>
      <w:r w:rsidR="004A6F30">
        <w:rPr>
          <w:rFonts w:ascii="Times New Roman" w:hAnsi="Times New Roman" w:cs="Times New Roman"/>
          <w:noProof/>
          <w:sz w:val="24"/>
          <w:szCs w:val="24"/>
          <w:lang w:val="en-IE"/>
        </w:rPr>
        <w:t>The</w:t>
      </w:r>
      <w:r w:rsidR="004A6F30" w:rsidRPr="004A6F30">
        <w:rPr>
          <w:rFonts w:ascii="Times New Roman" w:hAnsi="Times New Roman" w:cs="Times New Roman"/>
          <w:noProof/>
          <w:sz w:val="24"/>
          <w:szCs w:val="24"/>
          <w:lang w:val="en-IE"/>
        </w:rPr>
        <w:t xml:space="preserve"> </w:t>
      </w:r>
      <w:r w:rsidR="00B0326F" w:rsidRPr="004A6F30">
        <w:rPr>
          <w:rFonts w:ascii="Times New Roman" w:hAnsi="Times New Roman" w:cs="Times New Roman"/>
          <w:noProof/>
          <w:sz w:val="24"/>
          <w:szCs w:val="24"/>
          <w:lang w:val="en-IE"/>
        </w:rPr>
        <w:t>j</w:t>
      </w:r>
      <w:r w:rsidR="007B74D1" w:rsidRPr="004A6F30">
        <w:rPr>
          <w:rFonts w:ascii="Times New Roman" w:hAnsi="Times New Roman" w:cs="Times New Roman"/>
          <w:noProof/>
          <w:sz w:val="24"/>
          <w:szCs w:val="24"/>
          <w:lang w:val="en-IE"/>
        </w:rPr>
        <w:t xml:space="preserve">udicial and </w:t>
      </w:r>
      <w:r w:rsidR="00B0326F" w:rsidRPr="004A6F30">
        <w:rPr>
          <w:rFonts w:ascii="Times New Roman" w:hAnsi="Times New Roman" w:cs="Times New Roman"/>
          <w:noProof/>
          <w:sz w:val="24"/>
          <w:szCs w:val="24"/>
          <w:lang w:val="en-IE"/>
        </w:rPr>
        <w:t>l</w:t>
      </w:r>
      <w:r w:rsidR="007B74D1" w:rsidRPr="004A6F30">
        <w:rPr>
          <w:rFonts w:ascii="Times New Roman" w:hAnsi="Times New Roman" w:cs="Times New Roman"/>
          <w:noProof/>
          <w:sz w:val="24"/>
          <w:szCs w:val="24"/>
          <w:lang w:val="en-IE"/>
        </w:rPr>
        <w:t xml:space="preserve">aw </w:t>
      </w:r>
      <w:r w:rsidR="00B0326F" w:rsidRPr="004A6F30">
        <w:rPr>
          <w:rFonts w:ascii="Times New Roman" w:hAnsi="Times New Roman" w:cs="Times New Roman"/>
          <w:noProof/>
          <w:sz w:val="24"/>
          <w:szCs w:val="24"/>
          <w:lang w:val="en-IE"/>
        </w:rPr>
        <w:t xml:space="preserve">enforcement authorities </w:t>
      </w:r>
      <w:r w:rsidR="000215F6">
        <w:rPr>
          <w:rFonts w:ascii="Times New Roman" w:hAnsi="Times New Roman" w:cs="Times New Roman"/>
          <w:noProof/>
          <w:sz w:val="24"/>
          <w:szCs w:val="24"/>
          <w:lang w:val="en-IE"/>
        </w:rPr>
        <w:t xml:space="preserve">consulted </w:t>
      </w:r>
      <w:r w:rsidR="007B74D1" w:rsidRPr="004A6F30">
        <w:rPr>
          <w:rFonts w:ascii="Times New Roman" w:hAnsi="Times New Roman" w:cs="Times New Roman"/>
          <w:noProof/>
          <w:sz w:val="24"/>
          <w:szCs w:val="24"/>
          <w:lang w:val="en-IE"/>
        </w:rPr>
        <w:t xml:space="preserve">underscore the important role of self-laundering laws in combating financial crimes. </w:t>
      </w:r>
      <w:r w:rsidR="006862C1" w:rsidRPr="004A6F30">
        <w:rPr>
          <w:rFonts w:ascii="Times New Roman" w:hAnsi="Times New Roman" w:cs="Times New Roman"/>
          <w:noProof/>
          <w:sz w:val="24"/>
          <w:szCs w:val="24"/>
          <w:lang w:val="en-IE"/>
        </w:rPr>
        <w:t>The range of behaviours constituting self-laundering has been expanded, enhancing prosecutorial reach</w:t>
      </w:r>
      <w:r w:rsidR="008D7EB2" w:rsidRPr="004A6F30">
        <w:rPr>
          <w:rFonts w:ascii="Times New Roman" w:hAnsi="Times New Roman" w:cs="Times New Roman"/>
          <w:noProof/>
          <w:sz w:val="24"/>
          <w:szCs w:val="24"/>
          <w:lang w:val="en-IE"/>
        </w:rPr>
        <w:t>.</w:t>
      </w:r>
      <w:r w:rsidR="00DE11BC" w:rsidRPr="004A6F30">
        <w:rPr>
          <w:rFonts w:ascii="Times New Roman" w:hAnsi="Times New Roman" w:cs="Times New Roman"/>
          <w:noProof/>
          <w:sz w:val="24"/>
          <w:szCs w:val="24"/>
          <w:lang w:val="en-IE"/>
        </w:rPr>
        <w:t xml:space="preserve"> The criminal</w:t>
      </w:r>
      <w:r w:rsidR="000D0E0D">
        <w:rPr>
          <w:rFonts w:ascii="Times New Roman" w:hAnsi="Times New Roman" w:cs="Times New Roman"/>
          <w:noProof/>
          <w:sz w:val="24"/>
          <w:szCs w:val="24"/>
          <w:lang w:val="en-IE"/>
        </w:rPr>
        <w:t>-</w:t>
      </w:r>
      <w:r w:rsidR="00DE11BC" w:rsidRPr="004A6F30">
        <w:rPr>
          <w:rFonts w:ascii="Times New Roman" w:hAnsi="Times New Roman" w:cs="Times New Roman"/>
          <w:noProof/>
          <w:sz w:val="24"/>
          <w:szCs w:val="24"/>
          <w:lang w:val="en-IE"/>
        </w:rPr>
        <w:t xml:space="preserve">law practitioners </w:t>
      </w:r>
      <w:r w:rsidR="006C3E54" w:rsidRPr="004A6F30">
        <w:rPr>
          <w:rFonts w:ascii="Times New Roman" w:hAnsi="Times New Roman" w:cs="Times New Roman"/>
          <w:noProof/>
          <w:sz w:val="24"/>
          <w:szCs w:val="24"/>
          <w:lang w:val="en-IE"/>
        </w:rPr>
        <w:t xml:space="preserve">consulted </w:t>
      </w:r>
      <w:r w:rsidR="00DE11BC" w:rsidRPr="004A6F30">
        <w:rPr>
          <w:rFonts w:ascii="Times New Roman" w:hAnsi="Times New Roman" w:cs="Times New Roman"/>
          <w:noProof/>
          <w:sz w:val="24"/>
          <w:szCs w:val="24"/>
          <w:lang w:val="en-IE"/>
        </w:rPr>
        <w:t xml:space="preserve">confirm that self-laundering is punishable in their jurisdictions, with most stating that self-laundering </w:t>
      </w:r>
      <w:r w:rsidR="000D0E0D" w:rsidRPr="004A6F30">
        <w:rPr>
          <w:rFonts w:ascii="Times New Roman" w:hAnsi="Times New Roman" w:cs="Times New Roman"/>
          <w:noProof/>
          <w:sz w:val="24"/>
          <w:szCs w:val="24"/>
          <w:lang w:val="en-IE"/>
        </w:rPr>
        <w:t>offen</w:t>
      </w:r>
      <w:r w:rsidR="000D0E0D">
        <w:rPr>
          <w:rFonts w:ascii="Times New Roman" w:hAnsi="Times New Roman" w:cs="Times New Roman"/>
          <w:noProof/>
          <w:sz w:val="24"/>
          <w:szCs w:val="24"/>
          <w:lang w:val="en-IE"/>
        </w:rPr>
        <w:t>c</w:t>
      </w:r>
      <w:r w:rsidR="000D0E0D" w:rsidRPr="004A6F30">
        <w:rPr>
          <w:rFonts w:ascii="Times New Roman" w:hAnsi="Times New Roman" w:cs="Times New Roman"/>
          <w:noProof/>
          <w:sz w:val="24"/>
          <w:szCs w:val="24"/>
          <w:lang w:val="en-IE"/>
        </w:rPr>
        <w:t xml:space="preserve">es </w:t>
      </w:r>
      <w:r w:rsidR="00DE11BC" w:rsidRPr="004A6F30">
        <w:rPr>
          <w:rFonts w:ascii="Times New Roman" w:hAnsi="Times New Roman" w:cs="Times New Roman"/>
          <w:noProof/>
          <w:sz w:val="24"/>
          <w:szCs w:val="24"/>
          <w:lang w:val="en-IE"/>
        </w:rPr>
        <w:t>also cover the mere acquisition, possession, or use of illicit property</w:t>
      </w:r>
      <w:r w:rsidR="006862C1" w:rsidRPr="004A6F30">
        <w:rPr>
          <w:rFonts w:ascii="Times New Roman" w:hAnsi="Times New Roman" w:cs="Times New Roman"/>
          <w:noProof/>
          <w:sz w:val="24"/>
          <w:szCs w:val="24"/>
          <w:lang w:val="en-IE"/>
        </w:rPr>
        <w:t xml:space="preserve">. </w:t>
      </w:r>
      <w:r w:rsidR="00DE11BC" w:rsidRPr="004A6F30">
        <w:rPr>
          <w:rFonts w:ascii="Times New Roman" w:hAnsi="Times New Roman" w:cs="Times New Roman"/>
          <w:noProof/>
          <w:sz w:val="24"/>
          <w:szCs w:val="24"/>
          <w:lang w:val="en-IE"/>
        </w:rPr>
        <w:t>According to these stakeholders, this</w:t>
      </w:r>
      <w:r w:rsidR="006862C1" w:rsidRPr="004A6F30">
        <w:rPr>
          <w:rFonts w:ascii="Times New Roman" w:hAnsi="Times New Roman" w:cs="Times New Roman"/>
          <w:noProof/>
          <w:sz w:val="24"/>
          <w:szCs w:val="24"/>
          <w:lang w:val="en-IE"/>
        </w:rPr>
        <w:t xml:space="preserve"> has </w:t>
      </w:r>
      <w:r w:rsidR="00DE11BC" w:rsidRPr="004A6F30">
        <w:rPr>
          <w:rFonts w:ascii="Times New Roman" w:hAnsi="Times New Roman" w:cs="Times New Roman"/>
          <w:noProof/>
          <w:sz w:val="24"/>
          <w:szCs w:val="24"/>
          <w:lang w:val="en-IE"/>
        </w:rPr>
        <w:t>facilitated</w:t>
      </w:r>
      <w:r w:rsidR="006862C1" w:rsidRPr="004A6F30">
        <w:rPr>
          <w:rFonts w:ascii="Times New Roman" w:hAnsi="Times New Roman" w:cs="Times New Roman"/>
          <w:noProof/>
          <w:sz w:val="24"/>
          <w:szCs w:val="24"/>
          <w:lang w:val="en-IE"/>
        </w:rPr>
        <w:t xml:space="preserve"> an increase in international cooperation requests, facilitating cross-border investigations and prosecutions. </w:t>
      </w:r>
    </w:p>
    <w:p w14:paraId="43AE1406" w14:textId="69BD2268" w:rsidR="007B74D1" w:rsidRPr="004A6F30" w:rsidRDefault="007B74D1" w:rsidP="007B74D1">
      <w:pPr>
        <w:jc w:val="both"/>
        <w:rPr>
          <w:rFonts w:ascii="Times New Roman" w:hAnsi="Times New Roman" w:cs="Times New Roman"/>
          <w:noProof/>
          <w:sz w:val="24"/>
          <w:szCs w:val="24"/>
        </w:rPr>
      </w:pPr>
      <w:r w:rsidRPr="7EF5DA4E">
        <w:rPr>
          <w:rFonts w:ascii="Times New Roman" w:hAnsi="Times New Roman" w:cs="Times New Roman"/>
          <w:noProof/>
          <w:sz w:val="24"/>
          <w:szCs w:val="24"/>
        </w:rPr>
        <w:t xml:space="preserve">However, they also note several challenges that can complicate the effective application of these </w:t>
      </w:r>
      <w:r w:rsidR="0029375F" w:rsidRPr="7EF5DA4E">
        <w:rPr>
          <w:rFonts w:ascii="Times New Roman" w:hAnsi="Times New Roman" w:cs="Times New Roman"/>
          <w:noProof/>
          <w:sz w:val="24"/>
          <w:szCs w:val="24"/>
        </w:rPr>
        <w:t>provisions</w:t>
      </w:r>
      <w:r w:rsidR="00FF1D6E" w:rsidRPr="7EF5DA4E">
        <w:rPr>
          <w:rFonts w:ascii="Times New Roman" w:hAnsi="Times New Roman" w:cs="Times New Roman"/>
          <w:noProof/>
          <w:sz w:val="24"/>
          <w:szCs w:val="24"/>
        </w:rPr>
        <w:t>, such as</w:t>
      </w:r>
      <w:r w:rsidRPr="7EF5DA4E">
        <w:rPr>
          <w:rFonts w:ascii="Times New Roman" w:hAnsi="Times New Roman" w:cs="Times New Roman"/>
          <w:noProof/>
          <w:sz w:val="24"/>
          <w:szCs w:val="24"/>
        </w:rPr>
        <w:t xml:space="preserve"> the </w:t>
      </w:r>
      <w:r w:rsidR="00FF1D6E" w:rsidRPr="7EF5DA4E">
        <w:rPr>
          <w:rFonts w:ascii="Times New Roman" w:hAnsi="Times New Roman" w:cs="Times New Roman"/>
          <w:noProof/>
          <w:sz w:val="24"/>
          <w:szCs w:val="24"/>
        </w:rPr>
        <w:t>difficulties</w:t>
      </w:r>
      <w:r w:rsidRPr="7EF5DA4E">
        <w:rPr>
          <w:rFonts w:ascii="Times New Roman" w:hAnsi="Times New Roman" w:cs="Times New Roman"/>
          <w:noProof/>
          <w:sz w:val="24"/>
          <w:szCs w:val="24"/>
        </w:rPr>
        <w:t xml:space="preserve"> </w:t>
      </w:r>
      <w:r w:rsidR="000D0E0D" w:rsidRPr="7EF5DA4E">
        <w:rPr>
          <w:rFonts w:ascii="Times New Roman" w:hAnsi="Times New Roman" w:cs="Times New Roman"/>
          <w:noProof/>
          <w:sz w:val="24"/>
          <w:szCs w:val="24"/>
        </w:rPr>
        <w:t xml:space="preserve">associated with </w:t>
      </w:r>
      <w:r w:rsidRPr="7EF5DA4E">
        <w:rPr>
          <w:rFonts w:ascii="Times New Roman" w:hAnsi="Times New Roman" w:cs="Times New Roman"/>
          <w:noProof/>
          <w:sz w:val="24"/>
          <w:szCs w:val="24"/>
        </w:rPr>
        <w:t>differentiating self-laundering from the predicate offence</w:t>
      </w:r>
      <w:r w:rsidR="002E1842" w:rsidRPr="7EF5DA4E">
        <w:rPr>
          <w:rFonts w:ascii="Times New Roman" w:hAnsi="Times New Roman" w:cs="Times New Roman"/>
          <w:noProof/>
          <w:sz w:val="24"/>
          <w:szCs w:val="24"/>
        </w:rPr>
        <w:t xml:space="preserve">, </w:t>
      </w:r>
      <w:r w:rsidR="00726100" w:rsidRPr="7EF5DA4E">
        <w:rPr>
          <w:rFonts w:ascii="Times New Roman" w:hAnsi="Times New Roman" w:cs="Times New Roman"/>
          <w:noProof/>
          <w:sz w:val="24"/>
          <w:szCs w:val="24"/>
        </w:rPr>
        <w:t xml:space="preserve">or </w:t>
      </w:r>
      <w:r w:rsidR="000D0E0D" w:rsidRPr="7EF5DA4E">
        <w:rPr>
          <w:rFonts w:ascii="Times New Roman" w:hAnsi="Times New Roman" w:cs="Times New Roman"/>
          <w:noProof/>
          <w:sz w:val="24"/>
          <w:szCs w:val="24"/>
        </w:rPr>
        <w:t xml:space="preserve">with </w:t>
      </w:r>
      <w:r w:rsidRPr="7EF5DA4E">
        <w:rPr>
          <w:rFonts w:ascii="Times New Roman" w:hAnsi="Times New Roman" w:cs="Times New Roman"/>
          <w:noProof/>
          <w:sz w:val="24"/>
          <w:szCs w:val="24"/>
        </w:rPr>
        <w:t>ensur</w:t>
      </w:r>
      <w:r w:rsidR="002E1842" w:rsidRPr="7EF5DA4E">
        <w:rPr>
          <w:rFonts w:ascii="Times New Roman" w:hAnsi="Times New Roman" w:cs="Times New Roman"/>
          <w:noProof/>
          <w:sz w:val="24"/>
          <w:szCs w:val="24"/>
        </w:rPr>
        <w:t>ing</w:t>
      </w:r>
      <w:r w:rsidRPr="7EF5DA4E">
        <w:rPr>
          <w:rFonts w:ascii="Times New Roman" w:hAnsi="Times New Roman" w:cs="Times New Roman"/>
          <w:noProof/>
          <w:sz w:val="24"/>
          <w:szCs w:val="24"/>
        </w:rPr>
        <w:t xml:space="preserve"> consistency </w:t>
      </w:r>
      <w:r w:rsidR="002E1842" w:rsidRPr="7EF5DA4E">
        <w:rPr>
          <w:rFonts w:ascii="Times New Roman" w:hAnsi="Times New Roman" w:cs="Times New Roman"/>
          <w:noProof/>
          <w:sz w:val="24"/>
          <w:szCs w:val="24"/>
        </w:rPr>
        <w:t>when</w:t>
      </w:r>
      <w:r w:rsidRPr="7EF5DA4E">
        <w:rPr>
          <w:rFonts w:ascii="Times New Roman" w:hAnsi="Times New Roman" w:cs="Times New Roman"/>
          <w:noProof/>
          <w:sz w:val="24"/>
          <w:szCs w:val="24"/>
        </w:rPr>
        <w:t xml:space="preserve"> initiating investigations for both the underlying and laundering </w:t>
      </w:r>
      <w:r w:rsidR="000D0E0D" w:rsidRPr="7EF5DA4E">
        <w:rPr>
          <w:rFonts w:ascii="Times New Roman" w:hAnsi="Times New Roman" w:cs="Times New Roman"/>
          <w:noProof/>
          <w:sz w:val="24"/>
          <w:szCs w:val="24"/>
        </w:rPr>
        <w:t>offences</w:t>
      </w:r>
      <w:r w:rsidRPr="7EF5DA4E">
        <w:rPr>
          <w:rFonts w:ascii="Times New Roman" w:hAnsi="Times New Roman" w:cs="Times New Roman"/>
          <w:noProof/>
          <w:sz w:val="24"/>
          <w:szCs w:val="24"/>
        </w:rPr>
        <w:t>.</w:t>
      </w:r>
      <w:r w:rsidR="00580DBA" w:rsidRPr="7EF5DA4E">
        <w:rPr>
          <w:rFonts w:ascii="Times New Roman" w:hAnsi="Times New Roman" w:cs="Times New Roman"/>
          <w:noProof/>
          <w:sz w:val="24"/>
          <w:szCs w:val="24"/>
        </w:rPr>
        <w:t xml:space="preserve">  </w:t>
      </w:r>
    </w:p>
    <w:p w14:paraId="62CE6678" w14:textId="77777777" w:rsidR="00911693" w:rsidRPr="00575CC5" w:rsidRDefault="00911693" w:rsidP="00161031">
      <w:pPr>
        <w:spacing w:after="0"/>
        <w:rPr>
          <w:rFonts w:ascii="Times New Roman" w:hAnsi="Times New Roman" w:cs="Times New Roman"/>
          <w:noProof/>
          <w:lang w:val="en-IE"/>
        </w:rPr>
      </w:pPr>
    </w:p>
    <w:p w14:paraId="3D7B1D3C" w14:textId="77777777" w:rsidR="00911693" w:rsidRPr="00575CC5" w:rsidRDefault="00911693" w:rsidP="00911693">
      <w:pPr>
        <w:pStyle w:val="ListParagraph"/>
        <w:numPr>
          <w:ilvl w:val="0"/>
          <w:numId w:val="54"/>
        </w:numPr>
        <w:rPr>
          <w:b/>
          <w:i/>
          <w:iCs/>
          <w:noProof/>
          <w:szCs w:val="24"/>
          <w:lang w:val="en-IE"/>
        </w:rPr>
      </w:pPr>
      <w:r w:rsidRPr="00362E94">
        <w:rPr>
          <w:b/>
          <w:i/>
          <w:iCs/>
          <w:noProof/>
          <w:szCs w:val="24"/>
          <w:lang w:val="en-IE"/>
        </w:rPr>
        <w:t>Penalties for</w:t>
      </w:r>
      <w:r w:rsidRPr="00575CC5">
        <w:rPr>
          <w:b/>
          <w:i/>
          <w:iCs/>
          <w:noProof/>
          <w:szCs w:val="24"/>
          <w:lang w:val="en-IE"/>
        </w:rPr>
        <w:t xml:space="preserve"> natural persons (Article 5)</w:t>
      </w:r>
    </w:p>
    <w:p w14:paraId="371D4F8E" w14:textId="4F811E9B" w:rsidR="00911693" w:rsidRPr="00575CC5" w:rsidRDefault="00911693" w:rsidP="00911693">
      <w:pPr>
        <w:jc w:val="both"/>
        <w:rPr>
          <w:rFonts w:ascii="Times New Roman" w:hAnsi="Times New Roman" w:cs="Times New Roman"/>
          <w:iCs/>
          <w:noProof/>
          <w:sz w:val="24"/>
          <w:szCs w:val="24"/>
          <w:lang w:val="en-IE"/>
        </w:rPr>
      </w:pPr>
      <w:r w:rsidRPr="00575CC5">
        <w:rPr>
          <w:rFonts w:ascii="Times New Roman" w:hAnsi="Times New Roman" w:cs="Times New Roman"/>
          <w:iCs/>
          <w:noProof/>
          <w:sz w:val="24"/>
          <w:szCs w:val="24"/>
          <w:lang w:val="en-IE"/>
        </w:rPr>
        <w:t>Article 5 introduces harmonised penalties for natural persons</w:t>
      </w:r>
      <w:r w:rsidR="00024C51" w:rsidRPr="00575CC5">
        <w:rPr>
          <w:rFonts w:ascii="Times New Roman" w:hAnsi="Times New Roman" w:cs="Times New Roman"/>
          <w:iCs/>
          <w:noProof/>
          <w:sz w:val="24"/>
          <w:szCs w:val="24"/>
          <w:lang w:val="en-IE"/>
        </w:rPr>
        <w:t>, notably</w:t>
      </w:r>
      <w:r w:rsidR="003E3019" w:rsidRPr="00575CC5">
        <w:rPr>
          <w:rFonts w:ascii="Times New Roman" w:hAnsi="Times New Roman" w:cs="Times New Roman"/>
          <w:iCs/>
          <w:noProof/>
          <w:sz w:val="24"/>
          <w:szCs w:val="24"/>
          <w:lang w:val="en-IE"/>
        </w:rPr>
        <w:t xml:space="preserve"> by requiring </w:t>
      </w:r>
      <w:r w:rsidR="009975A9" w:rsidRPr="00575CC5">
        <w:rPr>
          <w:rFonts w:ascii="Times New Roman" w:hAnsi="Times New Roman" w:cs="Times New Roman"/>
          <w:iCs/>
          <w:noProof/>
          <w:sz w:val="24"/>
          <w:szCs w:val="24"/>
          <w:lang w:val="en-IE"/>
        </w:rPr>
        <w:t xml:space="preserve">a maximum threshold of </w:t>
      </w:r>
      <w:r w:rsidR="009A6714">
        <w:rPr>
          <w:rFonts w:ascii="Times New Roman" w:hAnsi="Times New Roman" w:cs="Times New Roman"/>
          <w:iCs/>
          <w:noProof/>
          <w:sz w:val="24"/>
          <w:szCs w:val="24"/>
          <w:lang w:val="en-IE"/>
        </w:rPr>
        <w:t xml:space="preserve">at least </w:t>
      </w:r>
      <w:r w:rsidR="00AE5FC9">
        <w:rPr>
          <w:rFonts w:ascii="Times New Roman" w:hAnsi="Times New Roman" w:cs="Times New Roman"/>
          <w:iCs/>
          <w:noProof/>
          <w:sz w:val="24"/>
          <w:szCs w:val="24"/>
          <w:lang w:val="en-IE"/>
        </w:rPr>
        <w:t>four</w:t>
      </w:r>
      <w:r w:rsidR="00AE5FC9" w:rsidRPr="00575CC5">
        <w:rPr>
          <w:rFonts w:ascii="Times New Roman" w:hAnsi="Times New Roman" w:cs="Times New Roman"/>
          <w:iCs/>
          <w:noProof/>
          <w:sz w:val="24"/>
          <w:szCs w:val="24"/>
          <w:lang w:val="en-IE"/>
        </w:rPr>
        <w:t xml:space="preserve"> </w:t>
      </w:r>
      <w:r w:rsidR="009975A9" w:rsidRPr="00575CC5">
        <w:rPr>
          <w:rFonts w:ascii="Times New Roman" w:hAnsi="Times New Roman" w:cs="Times New Roman"/>
          <w:iCs/>
          <w:noProof/>
          <w:sz w:val="24"/>
          <w:szCs w:val="24"/>
          <w:lang w:val="en-IE"/>
        </w:rPr>
        <w:t>years imprisonment</w:t>
      </w:r>
      <w:r w:rsidR="00466815" w:rsidRPr="00575CC5">
        <w:rPr>
          <w:rFonts w:ascii="Times New Roman" w:hAnsi="Times New Roman" w:cs="Times New Roman"/>
          <w:iCs/>
          <w:noProof/>
          <w:sz w:val="24"/>
          <w:szCs w:val="24"/>
          <w:lang w:val="en-IE"/>
        </w:rPr>
        <w:t xml:space="preserve"> for intentional money laundering and self-laundering</w:t>
      </w:r>
      <w:r w:rsidR="009A6714">
        <w:rPr>
          <w:rFonts w:ascii="Times New Roman" w:hAnsi="Times New Roman" w:cs="Times New Roman"/>
          <w:iCs/>
          <w:noProof/>
          <w:sz w:val="24"/>
          <w:szCs w:val="24"/>
          <w:lang w:val="en-IE"/>
        </w:rPr>
        <w:t>. This</w:t>
      </w:r>
      <w:r w:rsidRPr="00575CC5">
        <w:rPr>
          <w:rFonts w:ascii="Times New Roman" w:hAnsi="Times New Roman" w:cs="Times New Roman"/>
          <w:iCs/>
          <w:noProof/>
          <w:sz w:val="24"/>
          <w:szCs w:val="24"/>
          <w:lang w:val="en-IE"/>
        </w:rPr>
        <w:t xml:space="preserve"> represents </w:t>
      </w:r>
      <w:r w:rsidR="00D63A94" w:rsidRPr="00575CC5">
        <w:rPr>
          <w:rFonts w:ascii="Times New Roman" w:hAnsi="Times New Roman" w:cs="Times New Roman"/>
          <w:iCs/>
          <w:noProof/>
          <w:sz w:val="24"/>
          <w:szCs w:val="24"/>
          <w:lang w:val="en-IE"/>
        </w:rPr>
        <w:t>a step forward</w:t>
      </w:r>
      <w:r w:rsidRPr="00575CC5">
        <w:rPr>
          <w:rFonts w:ascii="Times New Roman" w:hAnsi="Times New Roman" w:cs="Times New Roman"/>
          <w:iCs/>
          <w:noProof/>
          <w:sz w:val="24"/>
          <w:szCs w:val="24"/>
          <w:lang w:val="en-IE"/>
        </w:rPr>
        <w:t xml:space="preserve"> compared to the previous framework. However, Article 5(3) allows for additional, unspecified sanctions, leaving scope for variation across Member States. While this flexibility </w:t>
      </w:r>
      <w:r w:rsidR="00F857A2" w:rsidRPr="00575CC5">
        <w:rPr>
          <w:rFonts w:ascii="Times New Roman" w:hAnsi="Times New Roman" w:cs="Times New Roman"/>
          <w:iCs/>
          <w:noProof/>
          <w:sz w:val="24"/>
          <w:szCs w:val="24"/>
          <w:lang w:val="en-IE"/>
        </w:rPr>
        <w:t>does not fundamentally undermine the Directive’s objectives,</w:t>
      </w:r>
      <w:r w:rsidR="004C3A67">
        <w:rPr>
          <w:rFonts w:ascii="Times New Roman" w:hAnsi="Times New Roman" w:cs="Times New Roman"/>
          <w:iCs/>
          <w:noProof/>
          <w:sz w:val="24"/>
          <w:szCs w:val="24"/>
          <w:lang w:val="en-IE"/>
        </w:rPr>
        <w:t xml:space="preserve"> desk research</w:t>
      </w:r>
      <w:r w:rsidR="008D7EB2">
        <w:rPr>
          <w:rFonts w:ascii="Times New Roman" w:hAnsi="Times New Roman" w:cs="Times New Roman"/>
          <w:iCs/>
          <w:noProof/>
          <w:sz w:val="24"/>
          <w:szCs w:val="24"/>
          <w:lang w:val="en-IE"/>
        </w:rPr>
        <w:t xml:space="preserve"> </w:t>
      </w:r>
      <w:r w:rsidR="00591CF0">
        <w:rPr>
          <w:rFonts w:ascii="Times New Roman" w:hAnsi="Times New Roman" w:cs="Times New Roman"/>
          <w:iCs/>
          <w:noProof/>
          <w:sz w:val="24"/>
          <w:szCs w:val="24"/>
          <w:lang w:val="en-IE"/>
        </w:rPr>
        <w:t xml:space="preserve">conducted for </w:t>
      </w:r>
      <w:r w:rsidR="004C3A67">
        <w:rPr>
          <w:rFonts w:ascii="Times New Roman" w:hAnsi="Times New Roman" w:cs="Times New Roman"/>
          <w:iCs/>
          <w:noProof/>
          <w:sz w:val="24"/>
          <w:szCs w:val="24"/>
          <w:lang w:val="en-IE"/>
        </w:rPr>
        <w:t>the supporting study showed that</w:t>
      </w:r>
      <w:r w:rsidR="00F857A2" w:rsidRPr="00575CC5">
        <w:rPr>
          <w:rFonts w:ascii="Times New Roman" w:hAnsi="Times New Roman" w:cs="Times New Roman"/>
          <w:iCs/>
          <w:noProof/>
          <w:sz w:val="24"/>
          <w:szCs w:val="24"/>
          <w:lang w:val="en-IE"/>
        </w:rPr>
        <w:t xml:space="preserve"> it </w:t>
      </w:r>
      <w:r w:rsidRPr="00575CC5">
        <w:rPr>
          <w:rFonts w:ascii="Times New Roman" w:hAnsi="Times New Roman" w:cs="Times New Roman"/>
          <w:iCs/>
          <w:noProof/>
          <w:sz w:val="24"/>
          <w:szCs w:val="24"/>
          <w:lang w:val="en-IE"/>
        </w:rPr>
        <w:t>may affect uniformity</w:t>
      </w:r>
      <w:r w:rsidR="004172CE">
        <w:rPr>
          <w:rStyle w:val="FootnoteReference"/>
          <w:rFonts w:ascii="Times New Roman" w:hAnsi="Times New Roman" w:cs="Times New Roman"/>
          <w:noProof/>
          <w:szCs w:val="24"/>
          <w:lang w:val="en-IE"/>
        </w:rPr>
        <w:footnoteReference w:id="32"/>
      </w:r>
      <w:r w:rsidR="004C3A67">
        <w:rPr>
          <w:rFonts w:ascii="Times New Roman" w:hAnsi="Times New Roman" w:cs="Times New Roman"/>
          <w:iCs/>
          <w:noProof/>
          <w:sz w:val="24"/>
          <w:szCs w:val="24"/>
          <w:lang w:val="en-IE"/>
        </w:rPr>
        <w:t>.</w:t>
      </w:r>
      <w:r w:rsidR="00A336C2" w:rsidRPr="00575CC5">
        <w:rPr>
          <w:rFonts w:ascii="Times New Roman" w:hAnsi="Times New Roman" w:cs="Times New Roman"/>
          <w:iCs/>
          <w:noProof/>
          <w:sz w:val="24"/>
          <w:szCs w:val="24"/>
          <w:lang w:val="en-IE"/>
        </w:rPr>
        <w:t xml:space="preserve"> </w:t>
      </w:r>
      <w:r w:rsidR="004C3A67">
        <w:rPr>
          <w:rFonts w:ascii="Times New Roman" w:hAnsi="Times New Roman" w:cs="Times New Roman"/>
          <w:iCs/>
          <w:noProof/>
          <w:sz w:val="24"/>
          <w:szCs w:val="24"/>
          <w:lang w:val="en-IE"/>
        </w:rPr>
        <w:t>This</w:t>
      </w:r>
      <w:r w:rsidR="004C3A67" w:rsidRPr="00575CC5">
        <w:rPr>
          <w:rFonts w:ascii="Times New Roman" w:hAnsi="Times New Roman" w:cs="Times New Roman"/>
          <w:iCs/>
          <w:noProof/>
          <w:sz w:val="24"/>
          <w:szCs w:val="24"/>
          <w:lang w:val="en-IE"/>
        </w:rPr>
        <w:t xml:space="preserve"> </w:t>
      </w:r>
      <w:r w:rsidR="00B137B3" w:rsidRPr="00575CC5">
        <w:rPr>
          <w:rFonts w:ascii="Times New Roman" w:hAnsi="Times New Roman" w:cs="Times New Roman"/>
          <w:iCs/>
          <w:noProof/>
          <w:sz w:val="24"/>
          <w:szCs w:val="24"/>
          <w:lang w:val="en-IE"/>
        </w:rPr>
        <w:t xml:space="preserve">may </w:t>
      </w:r>
      <w:r w:rsidR="00A336C2" w:rsidRPr="00575CC5">
        <w:rPr>
          <w:rFonts w:ascii="Times New Roman" w:hAnsi="Times New Roman" w:cs="Times New Roman"/>
          <w:iCs/>
          <w:noProof/>
          <w:sz w:val="24"/>
          <w:szCs w:val="24"/>
          <w:lang w:val="en-IE"/>
        </w:rPr>
        <w:t xml:space="preserve">limit the </w:t>
      </w:r>
      <w:r w:rsidR="00FE13C4" w:rsidRPr="00575CC5">
        <w:rPr>
          <w:rFonts w:ascii="Times New Roman" w:hAnsi="Times New Roman" w:cs="Times New Roman"/>
          <w:iCs/>
          <w:noProof/>
          <w:sz w:val="24"/>
          <w:szCs w:val="24"/>
          <w:lang w:val="en-IE"/>
        </w:rPr>
        <w:t xml:space="preserve">deterrent potential </w:t>
      </w:r>
      <w:r w:rsidR="00DF3DE5" w:rsidRPr="00575CC5">
        <w:rPr>
          <w:rFonts w:ascii="Times New Roman" w:hAnsi="Times New Roman" w:cs="Times New Roman"/>
          <w:iCs/>
          <w:noProof/>
          <w:sz w:val="24"/>
          <w:szCs w:val="24"/>
          <w:lang w:val="en-IE"/>
        </w:rPr>
        <w:t xml:space="preserve">of sanctions </w:t>
      </w:r>
      <w:r w:rsidR="00A336C2" w:rsidRPr="00575CC5">
        <w:rPr>
          <w:rFonts w:ascii="Times New Roman" w:hAnsi="Times New Roman" w:cs="Times New Roman"/>
          <w:iCs/>
          <w:noProof/>
          <w:sz w:val="24"/>
          <w:szCs w:val="24"/>
          <w:lang w:val="en-IE"/>
        </w:rPr>
        <w:t xml:space="preserve">to the extent that it may </w:t>
      </w:r>
      <w:r w:rsidR="00DF3DE5" w:rsidRPr="00575CC5">
        <w:rPr>
          <w:rFonts w:ascii="Times New Roman" w:hAnsi="Times New Roman" w:cs="Times New Roman"/>
          <w:iCs/>
          <w:noProof/>
          <w:sz w:val="24"/>
          <w:szCs w:val="24"/>
          <w:lang w:val="en-IE"/>
        </w:rPr>
        <w:t xml:space="preserve">provide </w:t>
      </w:r>
      <w:r w:rsidR="00591CF0">
        <w:rPr>
          <w:rFonts w:ascii="Times New Roman" w:hAnsi="Times New Roman" w:cs="Times New Roman"/>
          <w:iCs/>
          <w:noProof/>
          <w:sz w:val="24"/>
          <w:szCs w:val="24"/>
          <w:lang w:val="en-IE"/>
        </w:rPr>
        <w:t>fewer</w:t>
      </w:r>
      <w:r w:rsidR="00591CF0" w:rsidRPr="00575CC5">
        <w:rPr>
          <w:rFonts w:ascii="Times New Roman" w:hAnsi="Times New Roman" w:cs="Times New Roman"/>
          <w:iCs/>
          <w:noProof/>
          <w:sz w:val="24"/>
          <w:szCs w:val="24"/>
          <w:lang w:val="en-IE"/>
        </w:rPr>
        <w:t xml:space="preserve"> </w:t>
      </w:r>
      <w:r w:rsidR="00DF3DE5" w:rsidRPr="00575CC5">
        <w:rPr>
          <w:rFonts w:ascii="Times New Roman" w:hAnsi="Times New Roman" w:cs="Times New Roman"/>
          <w:iCs/>
          <w:noProof/>
          <w:sz w:val="24"/>
          <w:szCs w:val="24"/>
          <w:lang w:val="en-IE"/>
        </w:rPr>
        <w:t xml:space="preserve">tools </w:t>
      </w:r>
      <w:r w:rsidR="00FE13C4" w:rsidRPr="00575CC5">
        <w:rPr>
          <w:rFonts w:ascii="Times New Roman" w:hAnsi="Times New Roman" w:cs="Times New Roman"/>
          <w:iCs/>
          <w:noProof/>
          <w:sz w:val="24"/>
          <w:szCs w:val="24"/>
          <w:lang w:val="en-IE"/>
        </w:rPr>
        <w:t>for sanctioning perpetrators than for other crimes</w:t>
      </w:r>
      <w:r w:rsidR="00F34B0B" w:rsidRPr="00575CC5">
        <w:rPr>
          <w:rFonts w:ascii="Times New Roman" w:hAnsi="Times New Roman" w:cs="Times New Roman"/>
          <w:iCs/>
          <w:noProof/>
          <w:sz w:val="24"/>
          <w:szCs w:val="24"/>
          <w:lang w:val="en-IE"/>
        </w:rPr>
        <w:t xml:space="preserve"> recently regulated</w:t>
      </w:r>
      <w:r w:rsidR="00FE13C4" w:rsidRPr="00575CC5">
        <w:rPr>
          <w:rFonts w:ascii="Times New Roman" w:hAnsi="Times New Roman" w:cs="Times New Roman"/>
          <w:iCs/>
          <w:noProof/>
          <w:sz w:val="24"/>
          <w:szCs w:val="24"/>
          <w:lang w:val="en-IE"/>
        </w:rPr>
        <w:t xml:space="preserve"> </w:t>
      </w:r>
      <w:r w:rsidR="00F34B0B" w:rsidRPr="00575CC5">
        <w:rPr>
          <w:rFonts w:ascii="Times New Roman" w:hAnsi="Times New Roman" w:cs="Times New Roman"/>
          <w:iCs/>
          <w:noProof/>
          <w:sz w:val="24"/>
          <w:szCs w:val="24"/>
          <w:lang w:val="en-IE"/>
        </w:rPr>
        <w:t xml:space="preserve">at EU level </w:t>
      </w:r>
      <w:r w:rsidR="003945E5" w:rsidRPr="00575CC5">
        <w:rPr>
          <w:rFonts w:ascii="Times New Roman" w:hAnsi="Times New Roman" w:cs="Times New Roman"/>
          <w:iCs/>
          <w:noProof/>
          <w:sz w:val="24"/>
          <w:szCs w:val="24"/>
          <w:lang w:val="en-IE"/>
        </w:rPr>
        <w:t>(see section on coherence)</w:t>
      </w:r>
      <w:r w:rsidRPr="00575CC5">
        <w:rPr>
          <w:rFonts w:ascii="Times New Roman" w:hAnsi="Times New Roman" w:cs="Times New Roman"/>
          <w:iCs/>
          <w:noProof/>
          <w:sz w:val="24"/>
          <w:szCs w:val="24"/>
          <w:lang w:val="en-IE"/>
        </w:rPr>
        <w:t>.</w:t>
      </w:r>
      <w:r w:rsidR="00024C51" w:rsidRPr="00575CC5">
        <w:rPr>
          <w:rFonts w:ascii="Times New Roman" w:hAnsi="Times New Roman" w:cs="Times New Roman"/>
          <w:iCs/>
          <w:noProof/>
          <w:sz w:val="24"/>
          <w:szCs w:val="24"/>
          <w:lang w:val="en-IE"/>
        </w:rPr>
        <w:t xml:space="preserve"> </w:t>
      </w:r>
    </w:p>
    <w:p w14:paraId="7A81BC5F" w14:textId="77777777" w:rsidR="00911693" w:rsidRPr="00575CC5" w:rsidRDefault="00911693" w:rsidP="00911693">
      <w:pPr>
        <w:pStyle w:val="ListParagraph"/>
        <w:numPr>
          <w:ilvl w:val="0"/>
          <w:numId w:val="54"/>
        </w:numPr>
        <w:rPr>
          <w:b/>
          <w:i/>
          <w:iCs/>
          <w:noProof/>
          <w:szCs w:val="24"/>
          <w:lang w:val="en-IE"/>
        </w:rPr>
      </w:pPr>
      <w:r w:rsidRPr="00575CC5">
        <w:rPr>
          <w:b/>
          <w:i/>
          <w:iCs/>
          <w:noProof/>
          <w:szCs w:val="24"/>
          <w:lang w:val="en-IE"/>
        </w:rPr>
        <w:t>Aggravating circumstances (Article 6)</w:t>
      </w:r>
    </w:p>
    <w:p w14:paraId="5E2474C8" w14:textId="283AF885" w:rsidR="00911693" w:rsidRPr="00575CC5" w:rsidRDefault="00911693" w:rsidP="00911693">
      <w:pPr>
        <w:jc w:val="both"/>
        <w:rPr>
          <w:rFonts w:ascii="Times New Roman" w:hAnsi="Times New Roman" w:cs="Times New Roman"/>
          <w:iCs/>
          <w:noProof/>
          <w:sz w:val="24"/>
          <w:szCs w:val="24"/>
          <w:lang w:val="en-IE"/>
        </w:rPr>
      </w:pPr>
      <w:r w:rsidRPr="00575CC5">
        <w:rPr>
          <w:rFonts w:ascii="Times New Roman" w:hAnsi="Times New Roman" w:cs="Times New Roman"/>
          <w:iCs/>
          <w:noProof/>
          <w:sz w:val="24"/>
          <w:szCs w:val="24"/>
          <w:lang w:val="en-IE"/>
        </w:rPr>
        <w:t>Article 6</w:t>
      </w:r>
      <w:r w:rsidR="00BF6BE9" w:rsidRPr="00575CC5">
        <w:rPr>
          <w:rFonts w:ascii="Times New Roman" w:hAnsi="Times New Roman" w:cs="Times New Roman"/>
          <w:iCs/>
          <w:noProof/>
          <w:sz w:val="24"/>
          <w:szCs w:val="24"/>
          <w:lang w:val="en-IE"/>
        </w:rPr>
        <w:t xml:space="preserve"> sets out a number of situations which </w:t>
      </w:r>
      <w:r w:rsidR="002709CF" w:rsidRPr="00575CC5">
        <w:rPr>
          <w:rFonts w:ascii="Times New Roman" w:hAnsi="Times New Roman" w:cs="Times New Roman"/>
          <w:iCs/>
          <w:noProof/>
          <w:sz w:val="24"/>
          <w:szCs w:val="24"/>
          <w:lang w:val="en-IE"/>
        </w:rPr>
        <w:t xml:space="preserve">Member States </w:t>
      </w:r>
      <w:r w:rsidR="00AE5FC9">
        <w:rPr>
          <w:rFonts w:ascii="Times New Roman" w:hAnsi="Times New Roman" w:cs="Times New Roman"/>
          <w:iCs/>
          <w:noProof/>
          <w:sz w:val="24"/>
          <w:szCs w:val="24"/>
          <w:lang w:val="en-IE"/>
        </w:rPr>
        <w:t>must</w:t>
      </w:r>
      <w:r w:rsidR="00AE5FC9" w:rsidRPr="00575CC5">
        <w:rPr>
          <w:rFonts w:ascii="Times New Roman" w:hAnsi="Times New Roman" w:cs="Times New Roman"/>
          <w:iCs/>
          <w:noProof/>
          <w:sz w:val="24"/>
          <w:szCs w:val="24"/>
          <w:lang w:val="en-IE"/>
        </w:rPr>
        <w:t xml:space="preserve"> </w:t>
      </w:r>
      <w:r w:rsidR="002709CF" w:rsidRPr="00575CC5">
        <w:rPr>
          <w:rFonts w:ascii="Times New Roman" w:hAnsi="Times New Roman" w:cs="Times New Roman"/>
          <w:iCs/>
          <w:noProof/>
          <w:sz w:val="24"/>
          <w:szCs w:val="24"/>
          <w:lang w:val="en-IE"/>
        </w:rPr>
        <w:t>consider</w:t>
      </w:r>
      <w:r w:rsidR="00BF6BE9" w:rsidRPr="00575CC5">
        <w:rPr>
          <w:rFonts w:ascii="Times New Roman" w:hAnsi="Times New Roman" w:cs="Times New Roman"/>
          <w:iCs/>
          <w:noProof/>
          <w:sz w:val="24"/>
          <w:szCs w:val="24"/>
          <w:lang w:val="en-IE"/>
        </w:rPr>
        <w:t xml:space="preserve"> as </w:t>
      </w:r>
      <w:r w:rsidRPr="00575CC5">
        <w:rPr>
          <w:rFonts w:ascii="Times New Roman" w:hAnsi="Times New Roman" w:cs="Times New Roman"/>
          <w:iCs/>
          <w:noProof/>
          <w:sz w:val="24"/>
          <w:szCs w:val="24"/>
          <w:lang w:val="en-IE"/>
        </w:rPr>
        <w:t>aggravating circumstances</w:t>
      </w:r>
      <w:r w:rsidR="006850B7">
        <w:rPr>
          <w:rFonts w:ascii="Times New Roman" w:hAnsi="Times New Roman" w:cs="Times New Roman"/>
          <w:iCs/>
          <w:noProof/>
          <w:sz w:val="24"/>
          <w:szCs w:val="24"/>
          <w:lang w:val="en-IE"/>
        </w:rPr>
        <w:t xml:space="preserve">, </w:t>
      </w:r>
      <w:r w:rsidR="0097695A">
        <w:rPr>
          <w:rFonts w:ascii="Times New Roman" w:hAnsi="Times New Roman" w:cs="Times New Roman"/>
          <w:iCs/>
          <w:noProof/>
          <w:sz w:val="24"/>
          <w:szCs w:val="24"/>
          <w:lang w:val="en-IE"/>
        </w:rPr>
        <w:t>making it possible to impose</w:t>
      </w:r>
      <w:r w:rsidR="00867895" w:rsidRPr="00575CC5">
        <w:rPr>
          <w:rFonts w:ascii="Times New Roman" w:hAnsi="Times New Roman" w:cs="Times New Roman"/>
          <w:iCs/>
          <w:noProof/>
          <w:sz w:val="24"/>
          <w:szCs w:val="24"/>
          <w:lang w:val="en-IE"/>
        </w:rPr>
        <w:t xml:space="preserve"> harsher punishment</w:t>
      </w:r>
      <w:r w:rsidR="00852AE9" w:rsidRPr="00575CC5">
        <w:rPr>
          <w:rFonts w:ascii="Times New Roman" w:hAnsi="Times New Roman" w:cs="Times New Roman"/>
          <w:iCs/>
          <w:noProof/>
          <w:sz w:val="24"/>
          <w:szCs w:val="24"/>
          <w:lang w:val="en-IE"/>
        </w:rPr>
        <w:t>s for such conduct</w:t>
      </w:r>
      <w:r w:rsidR="00AC59AE">
        <w:rPr>
          <w:rFonts w:ascii="Times New Roman" w:hAnsi="Times New Roman" w:cs="Times New Roman"/>
          <w:iCs/>
          <w:noProof/>
          <w:sz w:val="24"/>
          <w:szCs w:val="24"/>
          <w:lang w:val="en-IE"/>
        </w:rPr>
        <w:t>s</w:t>
      </w:r>
      <w:r w:rsidR="00867895" w:rsidRPr="00575CC5">
        <w:rPr>
          <w:rFonts w:ascii="Times New Roman" w:hAnsi="Times New Roman" w:cs="Times New Roman"/>
          <w:iCs/>
          <w:noProof/>
          <w:sz w:val="24"/>
          <w:szCs w:val="24"/>
          <w:lang w:val="en-IE"/>
        </w:rPr>
        <w:t>: money laundering activities committed within a criminal organisation</w:t>
      </w:r>
      <w:r w:rsidR="00852AE9" w:rsidRPr="00575CC5">
        <w:rPr>
          <w:rFonts w:ascii="Times New Roman" w:hAnsi="Times New Roman" w:cs="Times New Roman"/>
          <w:iCs/>
          <w:noProof/>
          <w:sz w:val="24"/>
          <w:szCs w:val="24"/>
          <w:lang w:val="en-IE"/>
        </w:rPr>
        <w:t>,</w:t>
      </w:r>
      <w:r w:rsidR="00867895" w:rsidRPr="00575CC5">
        <w:rPr>
          <w:rFonts w:ascii="Times New Roman" w:hAnsi="Times New Roman" w:cs="Times New Roman"/>
          <w:iCs/>
          <w:noProof/>
          <w:sz w:val="24"/>
          <w:szCs w:val="24"/>
          <w:lang w:val="en-IE"/>
        </w:rPr>
        <w:t xml:space="preserve"> as well as </w:t>
      </w:r>
      <w:r w:rsidRPr="00575CC5">
        <w:rPr>
          <w:rFonts w:ascii="Times New Roman" w:hAnsi="Times New Roman" w:cs="Times New Roman"/>
          <w:iCs/>
          <w:noProof/>
          <w:sz w:val="24"/>
          <w:szCs w:val="24"/>
          <w:lang w:val="en-IE"/>
        </w:rPr>
        <w:t>cases where obliged entities commit money laundering in the course of professional activities.</w:t>
      </w:r>
      <w:r w:rsidR="00273096" w:rsidRPr="00575CC5">
        <w:rPr>
          <w:rFonts w:ascii="Times New Roman" w:hAnsi="Times New Roman" w:cs="Times New Roman"/>
          <w:iCs/>
          <w:noProof/>
          <w:sz w:val="24"/>
          <w:szCs w:val="24"/>
          <w:lang w:val="en-IE"/>
        </w:rPr>
        <w:t xml:space="preserve"> </w:t>
      </w:r>
      <w:r w:rsidR="006850B7">
        <w:rPr>
          <w:rFonts w:ascii="Times New Roman" w:hAnsi="Times New Roman" w:cs="Times New Roman"/>
          <w:iCs/>
          <w:noProof/>
          <w:sz w:val="24"/>
          <w:szCs w:val="24"/>
          <w:lang w:val="en-IE"/>
        </w:rPr>
        <w:t xml:space="preserve">The </w:t>
      </w:r>
      <w:r w:rsidR="009A6099">
        <w:rPr>
          <w:rFonts w:ascii="Times New Roman" w:hAnsi="Times New Roman" w:cs="Times New Roman"/>
          <w:iCs/>
          <w:noProof/>
          <w:sz w:val="24"/>
          <w:szCs w:val="24"/>
          <w:lang w:val="en-IE"/>
        </w:rPr>
        <w:t>study supporting the evaluation showed that a</w:t>
      </w:r>
      <w:r w:rsidRPr="00575CC5">
        <w:rPr>
          <w:rFonts w:ascii="Times New Roman" w:hAnsi="Times New Roman" w:cs="Times New Roman"/>
          <w:iCs/>
          <w:noProof/>
          <w:sz w:val="24"/>
          <w:szCs w:val="24"/>
          <w:lang w:val="en-IE"/>
        </w:rPr>
        <w:t>pplying th</w:t>
      </w:r>
      <w:r w:rsidR="006C316D" w:rsidRPr="00575CC5">
        <w:rPr>
          <w:rFonts w:ascii="Times New Roman" w:hAnsi="Times New Roman" w:cs="Times New Roman"/>
          <w:iCs/>
          <w:noProof/>
          <w:sz w:val="24"/>
          <w:szCs w:val="24"/>
          <w:lang w:val="en-IE"/>
        </w:rPr>
        <w:t xml:space="preserve">e </w:t>
      </w:r>
      <w:r w:rsidR="2697DC22" w:rsidRPr="00575CC5">
        <w:rPr>
          <w:rFonts w:ascii="Times New Roman" w:hAnsi="Times New Roman" w:cs="Times New Roman"/>
          <w:noProof/>
          <w:sz w:val="24"/>
          <w:szCs w:val="24"/>
          <w:lang w:val="en-IE"/>
        </w:rPr>
        <w:t>aggravating circumstance of committing money laundering as</w:t>
      </w:r>
      <w:r w:rsidR="00816B2B">
        <w:rPr>
          <w:rFonts w:ascii="Times New Roman" w:hAnsi="Times New Roman" w:cs="Times New Roman"/>
          <w:noProof/>
          <w:sz w:val="24"/>
          <w:szCs w:val="24"/>
          <w:lang w:val="en-IE"/>
        </w:rPr>
        <w:t xml:space="preserve"> an</w:t>
      </w:r>
      <w:r w:rsidR="2697DC22" w:rsidRPr="00575CC5">
        <w:rPr>
          <w:rFonts w:ascii="Times New Roman" w:hAnsi="Times New Roman" w:cs="Times New Roman"/>
          <w:noProof/>
          <w:sz w:val="24"/>
          <w:szCs w:val="24"/>
          <w:lang w:val="en-IE"/>
        </w:rPr>
        <w:t xml:space="preserve"> obliged entity</w:t>
      </w:r>
      <w:r w:rsidRPr="00575CC5">
        <w:rPr>
          <w:rFonts w:ascii="Times New Roman" w:hAnsi="Times New Roman" w:cs="Times New Roman"/>
          <w:iCs/>
          <w:noProof/>
          <w:sz w:val="24"/>
          <w:szCs w:val="24"/>
          <w:lang w:val="en-IE"/>
        </w:rPr>
        <w:t xml:space="preserve"> is complex, as it requires precise determination of professional conduct</w:t>
      </w:r>
      <w:r w:rsidR="009A6099">
        <w:rPr>
          <w:rStyle w:val="FootnoteReference"/>
          <w:rFonts w:ascii="Times New Roman" w:hAnsi="Times New Roman" w:cs="Times New Roman"/>
          <w:noProof/>
          <w:szCs w:val="24"/>
          <w:lang w:val="en-IE"/>
        </w:rPr>
        <w:footnoteReference w:id="33"/>
      </w:r>
      <w:r w:rsidRPr="00575CC5">
        <w:rPr>
          <w:rFonts w:ascii="Times New Roman" w:hAnsi="Times New Roman" w:cs="Times New Roman"/>
          <w:iCs/>
          <w:noProof/>
          <w:sz w:val="24"/>
          <w:szCs w:val="24"/>
          <w:lang w:val="en-IE"/>
        </w:rPr>
        <w:t>.</w:t>
      </w:r>
    </w:p>
    <w:p w14:paraId="37A108A1" w14:textId="56DA958D" w:rsidR="00911693" w:rsidRPr="00575CC5" w:rsidRDefault="00691022" w:rsidP="00911693">
      <w:pPr>
        <w:jc w:val="both"/>
        <w:rPr>
          <w:rFonts w:ascii="Times New Roman" w:hAnsi="Times New Roman" w:cs="Times New Roman"/>
          <w:iCs/>
          <w:noProof/>
          <w:sz w:val="24"/>
          <w:szCs w:val="24"/>
          <w:lang w:val="en-IE"/>
        </w:rPr>
      </w:pPr>
      <w:r w:rsidRPr="00575CC5">
        <w:rPr>
          <w:rFonts w:ascii="Times New Roman" w:hAnsi="Times New Roman" w:cs="Times New Roman"/>
          <w:iCs/>
          <w:noProof/>
          <w:sz w:val="24"/>
          <w:szCs w:val="24"/>
          <w:lang w:val="en-IE"/>
        </w:rPr>
        <w:t xml:space="preserve">Moreover, the Directive provides for optional aggravating circumstances, which Member States may decide to apply, i.e. for cases </w:t>
      </w:r>
      <w:r w:rsidR="009E5D8B" w:rsidRPr="00575CC5">
        <w:rPr>
          <w:rFonts w:ascii="Times New Roman" w:hAnsi="Times New Roman" w:cs="Times New Roman"/>
          <w:iCs/>
          <w:noProof/>
          <w:sz w:val="24"/>
          <w:szCs w:val="24"/>
          <w:lang w:val="en-IE"/>
        </w:rPr>
        <w:t xml:space="preserve">where the laundered property is of high value or when it derives from </w:t>
      </w:r>
      <w:r w:rsidR="00816B2B">
        <w:rPr>
          <w:rFonts w:ascii="Times New Roman" w:hAnsi="Times New Roman" w:cs="Times New Roman"/>
          <w:iCs/>
          <w:noProof/>
          <w:sz w:val="24"/>
          <w:szCs w:val="24"/>
          <w:lang w:val="en-IE"/>
        </w:rPr>
        <w:t>‘</w:t>
      </w:r>
      <w:r w:rsidR="009E5D8B" w:rsidRPr="00575CC5">
        <w:rPr>
          <w:rFonts w:ascii="Times New Roman" w:hAnsi="Times New Roman" w:cs="Times New Roman"/>
          <w:iCs/>
          <w:noProof/>
          <w:sz w:val="24"/>
          <w:szCs w:val="24"/>
          <w:lang w:val="en-IE"/>
        </w:rPr>
        <w:t xml:space="preserve">more </w:t>
      </w:r>
      <w:r w:rsidR="00911693" w:rsidRPr="00575CC5">
        <w:rPr>
          <w:rFonts w:ascii="Times New Roman" w:hAnsi="Times New Roman" w:cs="Times New Roman"/>
          <w:iCs/>
          <w:noProof/>
          <w:sz w:val="24"/>
          <w:szCs w:val="24"/>
          <w:lang w:val="en-IE"/>
        </w:rPr>
        <w:t>serious</w:t>
      </w:r>
      <w:r w:rsidR="00816B2B">
        <w:rPr>
          <w:rFonts w:ascii="Times New Roman" w:hAnsi="Times New Roman" w:cs="Times New Roman"/>
          <w:iCs/>
          <w:noProof/>
          <w:sz w:val="24"/>
          <w:szCs w:val="24"/>
          <w:lang w:val="en-IE"/>
        </w:rPr>
        <w:t>’</w:t>
      </w:r>
      <w:r w:rsidR="00911693" w:rsidRPr="00575CC5">
        <w:rPr>
          <w:rFonts w:ascii="Times New Roman" w:hAnsi="Times New Roman" w:cs="Times New Roman"/>
          <w:iCs/>
          <w:noProof/>
          <w:sz w:val="24"/>
          <w:szCs w:val="24"/>
          <w:lang w:val="en-IE"/>
        </w:rPr>
        <w:t xml:space="preserve"> offences</w:t>
      </w:r>
      <w:r w:rsidR="009E5D8B" w:rsidRPr="00575CC5">
        <w:rPr>
          <w:rFonts w:ascii="Times New Roman" w:hAnsi="Times New Roman" w:cs="Times New Roman"/>
          <w:iCs/>
          <w:noProof/>
          <w:sz w:val="24"/>
          <w:szCs w:val="24"/>
          <w:lang w:val="en-IE"/>
        </w:rPr>
        <w:t>, such as drug trafficking</w:t>
      </w:r>
      <w:r w:rsidR="00911693" w:rsidRPr="00575CC5">
        <w:rPr>
          <w:rFonts w:ascii="Times New Roman" w:hAnsi="Times New Roman" w:cs="Times New Roman"/>
          <w:iCs/>
          <w:noProof/>
          <w:sz w:val="24"/>
          <w:szCs w:val="24"/>
          <w:lang w:val="en-IE"/>
        </w:rPr>
        <w:t xml:space="preserve">. </w:t>
      </w:r>
      <w:r w:rsidR="007E4752" w:rsidRPr="00575CC5">
        <w:rPr>
          <w:rFonts w:ascii="Times New Roman" w:hAnsi="Times New Roman" w:cs="Times New Roman"/>
          <w:iCs/>
          <w:noProof/>
          <w:sz w:val="24"/>
          <w:szCs w:val="24"/>
          <w:lang w:val="en-IE"/>
        </w:rPr>
        <w:t xml:space="preserve">The Directive excludes from </w:t>
      </w:r>
      <w:r w:rsidR="00C6392B">
        <w:rPr>
          <w:rFonts w:ascii="Times New Roman" w:hAnsi="Times New Roman" w:cs="Times New Roman"/>
          <w:iCs/>
          <w:noProof/>
          <w:sz w:val="24"/>
          <w:szCs w:val="24"/>
          <w:lang w:val="en-IE"/>
        </w:rPr>
        <w:t>this</w:t>
      </w:r>
      <w:r w:rsidR="00C6392B" w:rsidRPr="00575CC5">
        <w:rPr>
          <w:rFonts w:ascii="Times New Roman" w:hAnsi="Times New Roman" w:cs="Times New Roman"/>
          <w:iCs/>
          <w:noProof/>
          <w:sz w:val="24"/>
          <w:szCs w:val="24"/>
          <w:lang w:val="en-IE"/>
        </w:rPr>
        <w:t xml:space="preserve"> </w:t>
      </w:r>
      <w:r w:rsidR="007E4752" w:rsidRPr="00575CC5">
        <w:rPr>
          <w:rFonts w:ascii="Times New Roman" w:hAnsi="Times New Roman" w:cs="Times New Roman"/>
          <w:iCs/>
          <w:noProof/>
          <w:sz w:val="24"/>
          <w:szCs w:val="24"/>
          <w:lang w:val="en-IE"/>
        </w:rPr>
        <w:t>aggravating category o</w:t>
      </w:r>
      <w:r w:rsidR="00911693" w:rsidRPr="00575CC5">
        <w:rPr>
          <w:rFonts w:ascii="Times New Roman" w:hAnsi="Times New Roman" w:cs="Times New Roman"/>
          <w:iCs/>
          <w:noProof/>
          <w:sz w:val="24"/>
          <w:szCs w:val="24"/>
          <w:lang w:val="en-IE"/>
        </w:rPr>
        <w:t xml:space="preserve">ffences such as fraud, environmental crime, market abuse, and cybercrime, despite being listed under Article 83(1) TFEU as crimes of particular seriousness with a cross-border dimension. Although Member States may broaden aggravating circumstances nationally, such discretion </w:t>
      </w:r>
      <w:r w:rsidR="007E4752" w:rsidRPr="00575CC5">
        <w:rPr>
          <w:rFonts w:ascii="Times New Roman" w:hAnsi="Times New Roman" w:cs="Times New Roman"/>
          <w:iCs/>
          <w:noProof/>
          <w:sz w:val="24"/>
          <w:szCs w:val="24"/>
          <w:lang w:val="en-IE"/>
        </w:rPr>
        <w:t xml:space="preserve">presents some </w:t>
      </w:r>
      <w:r w:rsidR="00911693" w:rsidRPr="00575CC5">
        <w:rPr>
          <w:rFonts w:ascii="Times New Roman" w:hAnsi="Times New Roman" w:cs="Times New Roman"/>
          <w:iCs/>
          <w:noProof/>
          <w:sz w:val="24"/>
          <w:szCs w:val="24"/>
          <w:lang w:val="en-IE"/>
        </w:rPr>
        <w:t xml:space="preserve">risks </w:t>
      </w:r>
      <w:r w:rsidR="007E4752" w:rsidRPr="00575CC5">
        <w:rPr>
          <w:rFonts w:ascii="Times New Roman" w:hAnsi="Times New Roman" w:cs="Times New Roman"/>
          <w:iCs/>
          <w:noProof/>
          <w:sz w:val="24"/>
          <w:szCs w:val="24"/>
          <w:lang w:val="en-IE"/>
        </w:rPr>
        <w:t xml:space="preserve">of </w:t>
      </w:r>
      <w:r w:rsidR="00911693" w:rsidRPr="00575CC5">
        <w:rPr>
          <w:rFonts w:ascii="Times New Roman" w:hAnsi="Times New Roman" w:cs="Times New Roman"/>
          <w:iCs/>
          <w:noProof/>
          <w:sz w:val="24"/>
          <w:szCs w:val="24"/>
          <w:lang w:val="en-IE"/>
        </w:rPr>
        <w:t>divergent interpretation, reduced consistency, and weakened</w:t>
      </w:r>
      <w:r w:rsidR="009726B4">
        <w:rPr>
          <w:rFonts w:ascii="Times New Roman" w:hAnsi="Times New Roman" w:cs="Times New Roman"/>
          <w:iCs/>
          <w:noProof/>
          <w:sz w:val="24"/>
          <w:szCs w:val="24"/>
          <w:lang w:val="en-IE"/>
        </w:rPr>
        <w:t xml:space="preserve"> EU-wide</w:t>
      </w:r>
      <w:r w:rsidR="00911693" w:rsidRPr="00575CC5">
        <w:rPr>
          <w:rFonts w:ascii="Times New Roman" w:hAnsi="Times New Roman" w:cs="Times New Roman"/>
          <w:iCs/>
          <w:noProof/>
          <w:sz w:val="24"/>
          <w:szCs w:val="24"/>
          <w:lang w:val="en-IE"/>
        </w:rPr>
        <w:t xml:space="preserve"> deterrence.</w:t>
      </w:r>
    </w:p>
    <w:p w14:paraId="37D4D883" w14:textId="1AA83025" w:rsidR="00911693" w:rsidRPr="00575CC5" w:rsidRDefault="00911693" w:rsidP="00911693">
      <w:pPr>
        <w:pStyle w:val="ListParagraph"/>
        <w:numPr>
          <w:ilvl w:val="0"/>
          <w:numId w:val="54"/>
        </w:numPr>
        <w:rPr>
          <w:b/>
          <w:i/>
          <w:iCs/>
          <w:noProof/>
          <w:lang w:val="en-IE"/>
        </w:rPr>
      </w:pPr>
      <w:r w:rsidRPr="00575CC5">
        <w:rPr>
          <w:b/>
          <w:i/>
          <w:iCs/>
          <w:noProof/>
          <w:lang w:val="en-IE"/>
        </w:rPr>
        <w:t xml:space="preserve">Harmonised application of </w:t>
      </w:r>
      <w:r w:rsidR="00610B2B">
        <w:rPr>
          <w:b/>
          <w:i/>
          <w:iCs/>
          <w:noProof/>
          <w:lang w:val="en-IE"/>
        </w:rPr>
        <w:t>penalties</w:t>
      </w:r>
      <w:r w:rsidR="00610B2B" w:rsidRPr="00575CC5">
        <w:rPr>
          <w:b/>
          <w:i/>
          <w:iCs/>
          <w:noProof/>
          <w:lang w:val="en-IE"/>
        </w:rPr>
        <w:t xml:space="preserve"> </w:t>
      </w:r>
      <w:r w:rsidRPr="00575CC5">
        <w:rPr>
          <w:b/>
          <w:i/>
          <w:iCs/>
          <w:noProof/>
          <w:lang w:val="en-IE"/>
        </w:rPr>
        <w:t>to legal entities (Article 8)</w:t>
      </w:r>
    </w:p>
    <w:p w14:paraId="7B82F320" w14:textId="587D908C" w:rsidR="00911693" w:rsidRPr="00575CC5" w:rsidRDefault="00911693" w:rsidP="00911693">
      <w:pPr>
        <w:jc w:val="both"/>
        <w:rPr>
          <w:rFonts w:ascii="Times New Roman" w:hAnsi="Times New Roman" w:cs="Times New Roman"/>
          <w:iCs/>
          <w:noProof/>
          <w:sz w:val="24"/>
          <w:szCs w:val="24"/>
          <w:lang w:val="en-IE"/>
        </w:rPr>
      </w:pPr>
      <w:r w:rsidRPr="00575CC5">
        <w:rPr>
          <w:rFonts w:ascii="Times New Roman" w:hAnsi="Times New Roman" w:cs="Times New Roman"/>
          <w:iCs/>
          <w:noProof/>
          <w:sz w:val="24"/>
          <w:szCs w:val="24"/>
          <w:lang w:val="en-IE"/>
        </w:rPr>
        <w:t xml:space="preserve">The Directive foresees </w:t>
      </w:r>
      <w:r w:rsidR="008F14E9">
        <w:rPr>
          <w:rFonts w:ascii="Times New Roman" w:hAnsi="Times New Roman" w:cs="Times New Roman"/>
          <w:iCs/>
          <w:noProof/>
          <w:sz w:val="24"/>
          <w:szCs w:val="24"/>
          <w:lang w:val="en-IE"/>
        </w:rPr>
        <w:t xml:space="preserve">that fines are mandatorily made available under national law as well as </w:t>
      </w:r>
      <w:r w:rsidRPr="00575CC5">
        <w:rPr>
          <w:rFonts w:ascii="Times New Roman" w:hAnsi="Times New Roman" w:cs="Times New Roman"/>
          <w:iCs/>
          <w:noProof/>
          <w:sz w:val="24"/>
          <w:szCs w:val="24"/>
          <w:lang w:val="en-IE"/>
        </w:rPr>
        <w:t xml:space="preserve">optional </w:t>
      </w:r>
      <w:r w:rsidR="00D15ACA">
        <w:rPr>
          <w:rFonts w:ascii="Times New Roman" w:hAnsi="Times New Roman" w:cs="Times New Roman"/>
          <w:iCs/>
          <w:noProof/>
          <w:sz w:val="24"/>
          <w:szCs w:val="24"/>
          <w:lang w:val="en-IE"/>
        </w:rPr>
        <w:t xml:space="preserve">additional </w:t>
      </w:r>
      <w:r w:rsidRPr="00575CC5">
        <w:rPr>
          <w:rFonts w:ascii="Times New Roman" w:hAnsi="Times New Roman" w:cs="Times New Roman"/>
          <w:iCs/>
          <w:noProof/>
          <w:sz w:val="24"/>
          <w:szCs w:val="24"/>
          <w:lang w:val="en-IE"/>
        </w:rPr>
        <w:t>sanctions for legal persons (e.g. exclusion from public benefits, bans on commercial activit</w:t>
      </w:r>
      <w:r w:rsidR="008420CB">
        <w:rPr>
          <w:rFonts w:ascii="Times New Roman" w:hAnsi="Times New Roman" w:cs="Times New Roman"/>
          <w:iCs/>
          <w:noProof/>
          <w:sz w:val="24"/>
          <w:szCs w:val="24"/>
          <w:lang w:val="en-IE"/>
        </w:rPr>
        <w:t>ies</w:t>
      </w:r>
      <w:r w:rsidRPr="00575CC5">
        <w:rPr>
          <w:rFonts w:ascii="Times New Roman" w:hAnsi="Times New Roman" w:cs="Times New Roman"/>
          <w:iCs/>
          <w:noProof/>
          <w:sz w:val="24"/>
          <w:szCs w:val="24"/>
          <w:lang w:val="en-IE"/>
        </w:rPr>
        <w:t>) and leaves Member States the choice between criminal, administrative, or civil liability. This reflects national differences on corporate criminal liability but risks uneven enforcement.</w:t>
      </w:r>
    </w:p>
    <w:p w14:paraId="64F39A4E" w14:textId="6D87BABE" w:rsidR="00DE34AB" w:rsidRDefault="00911693" w:rsidP="00161031">
      <w:pPr>
        <w:jc w:val="both"/>
        <w:rPr>
          <w:rFonts w:ascii="Times New Roman" w:hAnsi="Times New Roman" w:cs="Times New Roman"/>
          <w:noProof/>
          <w:sz w:val="24"/>
          <w:szCs w:val="24"/>
          <w:lang w:val="en-IE"/>
        </w:rPr>
      </w:pPr>
      <w:r w:rsidRPr="00575CC5">
        <w:rPr>
          <w:rFonts w:ascii="Times New Roman" w:hAnsi="Times New Roman" w:cs="Times New Roman"/>
          <w:iCs/>
          <w:noProof/>
          <w:sz w:val="24"/>
          <w:szCs w:val="24"/>
          <w:lang w:val="en-IE"/>
        </w:rPr>
        <w:t xml:space="preserve">Although fines are mandatory, the Directive </w:t>
      </w:r>
      <w:r w:rsidR="00C6392B">
        <w:rPr>
          <w:rFonts w:ascii="Times New Roman" w:hAnsi="Times New Roman" w:cs="Times New Roman"/>
          <w:iCs/>
          <w:noProof/>
          <w:sz w:val="24"/>
          <w:szCs w:val="24"/>
          <w:lang w:val="en-IE"/>
        </w:rPr>
        <w:t>grants</w:t>
      </w:r>
      <w:r w:rsidR="00C6392B" w:rsidRPr="00575CC5">
        <w:rPr>
          <w:rFonts w:ascii="Times New Roman" w:hAnsi="Times New Roman" w:cs="Times New Roman"/>
          <w:iCs/>
          <w:noProof/>
          <w:sz w:val="24"/>
          <w:szCs w:val="24"/>
          <w:lang w:val="en-IE"/>
        </w:rPr>
        <w:t xml:space="preserve"> </w:t>
      </w:r>
      <w:r w:rsidRPr="00575CC5">
        <w:rPr>
          <w:rFonts w:ascii="Times New Roman" w:hAnsi="Times New Roman" w:cs="Times New Roman"/>
          <w:iCs/>
          <w:noProof/>
          <w:sz w:val="24"/>
          <w:szCs w:val="24"/>
          <w:lang w:val="en-IE"/>
        </w:rPr>
        <w:t xml:space="preserve">wide discretion </w:t>
      </w:r>
      <w:r w:rsidR="00C6392B">
        <w:rPr>
          <w:rFonts w:ascii="Times New Roman" w:hAnsi="Times New Roman" w:cs="Times New Roman"/>
          <w:iCs/>
          <w:noProof/>
          <w:sz w:val="24"/>
          <w:szCs w:val="24"/>
          <w:lang w:val="en-IE"/>
        </w:rPr>
        <w:t>as to</w:t>
      </w:r>
      <w:r w:rsidR="00C6392B" w:rsidRPr="00575CC5">
        <w:rPr>
          <w:rFonts w:ascii="Times New Roman" w:hAnsi="Times New Roman" w:cs="Times New Roman"/>
          <w:iCs/>
          <w:noProof/>
          <w:sz w:val="24"/>
          <w:szCs w:val="24"/>
          <w:lang w:val="en-IE"/>
        </w:rPr>
        <w:t xml:space="preserve"> </w:t>
      </w:r>
      <w:r w:rsidRPr="00575CC5">
        <w:rPr>
          <w:rFonts w:ascii="Times New Roman" w:hAnsi="Times New Roman" w:cs="Times New Roman"/>
          <w:iCs/>
          <w:noProof/>
          <w:sz w:val="24"/>
          <w:szCs w:val="24"/>
          <w:lang w:val="en-IE"/>
        </w:rPr>
        <w:t xml:space="preserve">their level, unlike newer EU criminal law instruments which prescribe </w:t>
      </w:r>
      <w:r w:rsidR="00D15ACA">
        <w:rPr>
          <w:rFonts w:ascii="Times New Roman" w:hAnsi="Times New Roman" w:cs="Times New Roman"/>
          <w:iCs/>
          <w:noProof/>
          <w:sz w:val="24"/>
          <w:szCs w:val="24"/>
          <w:lang w:val="en-IE"/>
        </w:rPr>
        <w:t xml:space="preserve">the minimum maximum levels of fines to be calculated either based on </w:t>
      </w:r>
      <w:r w:rsidRPr="00575CC5">
        <w:rPr>
          <w:rFonts w:ascii="Times New Roman" w:hAnsi="Times New Roman" w:cs="Times New Roman"/>
          <w:iCs/>
          <w:noProof/>
          <w:sz w:val="24"/>
          <w:szCs w:val="24"/>
          <w:lang w:val="en-IE"/>
        </w:rPr>
        <w:t>percentages of</w:t>
      </w:r>
      <w:r w:rsidR="00A869B6">
        <w:rPr>
          <w:rFonts w:ascii="Times New Roman" w:hAnsi="Times New Roman" w:cs="Times New Roman"/>
          <w:iCs/>
          <w:noProof/>
          <w:sz w:val="24"/>
          <w:szCs w:val="24"/>
          <w:lang w:val="en-IE"/>
        </w:rPr>
        <w:t xml:space="preserve"> the legal person’s total worldwide</w:t>
      </w:r>
      <w:r w:rsidRPr="00575CC5">
        <w:rPr>
          <w:rFonts w:ascii="Times New Roman" w:hAnsi="Times New Roman" w:cs="Times New Roman"/>
          <w:iCs/>
          <w:noProof/>
          <w:sz w:val="24"/>
          <w:szCs w:val="24"/>
          <w:lang w:val="en-IE"/>
        </w:rPr>
        <w:t xml:space="preserve"> turnover or</w:t>
      </w:r>
      <w:r w:rsidR="00A869B6">
        <w:rPr>
          <w:rFonts w:ascii="Times New Roman" w:hAnsi="Times New Roman" w:cs="Times New Roman"/>
          <w:iCs/>
          <w:noProof/>
          <w:sz w:val="24"/>
          <w:szCs w:val="24"/>
          <w:lang w:val="en-IE"/>
        </w:rPr>
        <w:t xml:space="preserve"> on</w:t>
      </w:r>
      <w:r w:rsidRPr="00575CC5">
        <w:rPr>
          <w:rFonts w:ascii="Times New Roman" w:hAnsi="Times New Roman" w:cs="Times New Roman"/>
          <w:iCs/>
          <w:noProof/>
          <w:sz w:val="24"/>
          <w:szCs w:val="24"/>
          <w:lang w:val="en-IE"/>
        </w:rPr>
        <w:t xml:space="preserve"> fixed </w:t>
      </w:r>
      <w:r w:rsidR="00A869B6">
        <w:rPr>
          <w:rFonts w:ascii="Times New Roman" w:hAnsi="Times New Roman" w:cs="Times New Roman"/>
          <w:iCs/>
          <w:noProof/>
          <w:sz w:val="24"/>
          <w:szCs w:val="24"/>
          <w:lang w:val="en-IE"/>
        </w:rPr>
        <w:t>amounts</w:t>
      </w:r>
      <w:r w:rsidRPr="00575CC5">
        <w:rPr>
          <w:rFonts w:ascii="Times New Roman" w:hAnsi="Times New Roman" w:cs="Times New Roman"/>
          <w:iCs/>
          <w:noProof/>
          <w:sz w:val="24"/>
          <w:szCs w:val="24"/>
          <w:lang w:val="en-IE"/>
        </w:rPr>
        <w:t xml:space="preserve">. Likewise, while the Directive makes additional sanctions optional, more recent instruments </w:t>
      </w:r>
      <w:r w:rsidR="0071366D">
        <w:rPr>
          <w:rFonts w:ascii="Times New Roman" w:hAnsi="Times New Roman" w:cs="Times New Roman"/>
          <w:iCs/>
          <w:noProof/>
          <w:sz w:val="24"/>
          <w:szCs w:val="24"/>
          <w:lang w:val="en-IE"/>
        </w:rPr>
        <w:t>foresee</w:t>
      </w:r>
      <w:r w:rsidR="0071366D" w:rsidRPr="00575CC5">
        <w:rPr>
          <w:rFonts w:ascii="Times New Roman" w:hAnsi="Times New Roman" w:cs="Times New Roman"/>
          <w:iCs/>
          <w:noProof/>
          <w:sz w:val="24"/>
          <w:szCs w:val="24"/>
          <w:lang w:val="en-IE"/>
        </w:rPr>
        <w:t xml:space="preserve"> </w:t>
      </w:r>
      <w:r w:rsidRPr="00575CC5">
        <w:rPr>
          <w:rFonts w:ascii="Times New Roman" w:hAnsi="Times New Roman" w:cs="Times New Roman"/>
          <w:iCs/>
          <w:noProof/>
          <w:sz w:val="24"/>
          <w:szCs w:val="24"/>
          <w:lang w:val="en-IE"/>
        </w:rPr>
        <w:t>them as mandatory</w:t>
      </w:r>
      <w:r w:rsidR="004424BA">
        <w:rPr>
          <w:rFonts w:ascii="Times New Roman" w:hAnsi="Times New Roman" w:cs="Times New Roman"/>
          <w:iCs/>
          <w:noProof/>
          <w:sz w:val="24"/>
          <w:szCs w:val="24"/>
          <w:lang w:val="en-IE"/>
        </w:rPr>
        <w:t>, while providing a non-binding list of such other criminal and non-criminal penalties or measures</w:t>
      </w:r>
      <w:r w:rsidRPr="00575CC5">
        <w:rPr>
          <w:rFonts w:ascii="Times New Roman" w:hAnsi="Times New Roman" w:cs="Times New Roman"/>
          <w:iCs/>
          <w:noProof/>
          <w:sz w:val="24"/>
          <w:szCs w:val="24"/>
          <w:lang w:val="en-IE"/>
        </w:rPr>
        <w:t>. Such flexibility may result in unequal treatment of comparable cases</w:t>
      </w:r>
      <w:r w:rsidR="00377B07" w:rsidRPr="00575CC5">
        <w:rPr>
          <w:rFonts w:ascii="Times New Roman" w:hAnsi="Times New Roman" w:cs="Times New Roman"/>
          <w:noProof/>
          <w:sz w:val="24"/>
          <w:szCs w:val="24"/>
          <w:lang w:val="en-IE"/>
        </w:rPr>
        <w:t xml:space="preserve"> (see </w:t>
      </w:r>
      <w:r w:rsidR="009B228A" w:rsidRPr="00575CC5">
        <w:rPr>
          <w:rFonts w:ascii="Times New Roman" w:hAnsi="Times New Roman" w:cs="Times New Roman"/>
          <w:noProof/>
          <w:sz w:val="24"/>
          <w:szCs w:val="24"/>
          <w:lang w:val="en-IE"/>
        </w:rPr>
        <w:t>section</w:t>
      </w:r>
      <w:r w:rsidR="009B228A">
        <w:rPr>
          <w:rFonts w:ascii="Times New Roman" w:hAnsi="Times New Roman" w:cs="Times New Roman"/>
          <w:noProof/>
          <w:sz w:val="24"/>
          <w:szCs w:val="24"/>
          <w:lang w:val="en-IE"/>
        </w:rPr>
        <w:t xml:space="preserve"> on</w:t>
      </w:r>
      <w:r w:rsidR="009B228A" w:rsidRPr="00575CC5">
        <w:rPr>
          <w:rFonts w:ascii="Times New Roman" w:hAnsi="Times New Roman" w:cs="Times New Roman"/>
          <w:noProof/>
          <w:sz w:val="24"/>
          <w:szCs w:val="24"/>
          <w:lang w:val="en-IE"/>
        </w:rPr>
        <w:t xml:space="preserve"> </w:t>
      </w:r>
      <w:r w:rsidR="00377B07" w:rsidRPr="00575CC5">
        <w:rPr>
          <w:rFonts w:ascii="Times New Roman" w:hAnsi="Times New Roman" w:cs="Times New Roman"/>
          <w:noProof/>
          <w:sz w:val="24"/>
          <w:szCs w:val="24"/>
          <w:lang w:val="en-IE"/>
        </w:rPr>
        <w:t>coherence).</w:t>
      </w:r>
    </w:p>
    <w:p w14:paraId="20F3700D" w14:textId="28FF2465" w:rsidR="004B218C" w:rsidRPr="009A39FA" w:rsidRDefault="001A411B" w:rsidP="009A39FA">
      <w:pPr>
        <w:pStyle w:val="ListParagraph"/>
        <w:numPr>
          <w:ilvl w:val="0"/>
          <w:numId w:val="54"/>
        </w:numPr>
        <w:rPr>
          <w:b/>
          <w:i/>
          <w:noProof/>
          <w:lang w:val="en-IE"/>
        </w:rPr>
      </w:pPr>
      <w:r w:rsidRPr="009A39FA">
        <w:rPr>
          <w:b/>
          <w:i/>
          <w:iCs/>
          <w:noProof/>
          <w:lang w:val="en-IE"/>
        </w:rPr>
        <w:t>Strengthen confiscation measures (Article 9)</w:t>
      </w:r>
    </w:p>
    <w:p w14:paraId="3E1F983A" w14:textId="1368C937" w:rsidR="001330D1" w:rsidRDefault="001A411B" w:rsidP="00161031">
      <w:pPr>
        <w:jc w:val="both"/>
        <w:rPr>
          <w:rFonts w:ascii="Times New Roman" w:hAnsi="Times New Roman" w:cs="Times New Roman"/>
          <w:iCs/>
          <w:noProof/>
          <w:sz w:val="24"/>
          <w:szCs w:val="24"/>
        </w:rPr>
      </w:pPr>
      <w:r>
        <w:rPr>
          <w:rFonts w:ascii="Times New Roman" w:hAnsi="Times New Roman" w:cs="Times New Roman"/>
          <w:iCs/>
          <w:noProof/>
          <w:sz w:val="24"/>
          <w:szCs w:val="24"/>
          <w:lang w:val="en-IE"/>
        </w:rPr>
        <w:t xml:space="preserve">The Directive </w:t>
      </w:r>
      <w:r w:rsidR="00722205">
        <w:rPr>
          <w:rFonts w:ascii="Times New Roman" w:hAnsi="Times New Roman" w:cs="Times New Roman"/>
          <w:iCs/>
          <w:noProof/>
          <w:sz w:val="24"/>
          <w:szCs w:val="24"/>
          <w:lang w:val="en-IE"/>
        </w:rPr>
        <w:t>requires Member States to t</w:t>
      </w:r>
      <w:r w:rsidR="00722205" w:rsidRPr="00722205">
        <w:rPr>
          <w:rFonts w:ascii="Times New Roman" w:hAnsi="Times New Roman" w:cs="Times New Roman"/>
          <w:iCs/>
          <w:noProof/>
          <w:sz w:val="24"/>
          <w:szCs w:val="24"/>
        </w:rPr>
        <w:t xml:space="preserve">ake measures to ensure that their competent authorities freeze or confiscate the proceeds derived from </w:t>
      </w:r>
      <w:r w:rsidR="007133DD">
        <w:rPr>
          <w:rFonts w:ascii="Times New Roman" w:hAnsi="Times New Roman" w:cs="Times New Roman"/>
          <w:iCs/>
          <w:noProof/>
          <w:sz w:val="24"/>
          <w:szCs w:val="24"/>
        </w:rPr>
        <w:t>money laundering</w:t>
      </w:r>
      <w:r w:rsidR="005927BA" w:rsidRPr="00722205">
        <w:rPr>
          <w:rFonts w:ascii="Times New Roman" w:hAnsi="Times New Roman" w:cs="Times New Roman"/>
          <w:iCs/>
          <w:noProof/>
          <w:sz w:val="24"/>
          <w:szCs w:val="24"/>
        </w:rPr>
        <w:t>, in accordance with Directive 2014/42/EU</w:t>
      </w:r>
      <w:r w:rsidR="005927BA">
        <w:rPr>
          <w:rFonts w:ascii="Times New Roman" w:hAnsi="Times New Roman" w:cs="Times New Roman"/>
          <w:iCs/>
          <w:noProof/>
          <w:sz w:val="24"/>
          <w:szCs w:val="24"/>
        </w:rPr>
        <w:t xml:space="preserve"> (here</w:t>
      </w:r>
      <w:r w:rsidR="009B228A">
        <w:rPr>
          <w:rFonts w:ascii="Times New Roman" w:hAnsi="Times New Roman" w:cs="Times New Roman"/>
          <w:iCs/>
          <w:noProof/>
          <w:sz w:val="24"/>
          <w:szCs w:val="24"/>
        </w:rPr>
        <w:t>in</w:t>
      </w:r>
      <w:r w:rsidR="005927BA">
        <w:rPr>
          <w:rFonts w:ascii="Times New Roman" w:hAnsi="Times New Roman" w:cs="Times New Roman"/>
          <w:iCs/>
          <w:noProof/>
          <w:sz w:val="24"/>
          <w:szCs w:val="24"/>
        </w:rPr>
        <w:t>after ‘the Confiscation Directive’)</w:t>
      </w:r>
      <w:r w:rsidR="007133DD">
        <w:rPr>
          <w:rFonts w:ascii="Times New Roman" w:hAnsi="Times New Roman" w:cs="Times New Roman"/>
          <w:iCs/>
          <w:noProof/>
          <w:sz w:val="24"/>
          <w:szCs w:val="24"/>
        </w:rPr>
        <w:t>.</w:t>
      </w:r>
    </w:p>
    <w:p w14:paraId="0D2EEFE0" w14:textId="0B13EF35" w:rsidR="004B218C" w:rsidRDefault="007133DD" w:rsidP="00161031">
      <w:pPr>
        <w:jc w:val="both"/>
        <w:rPr>
          <w:rFonts w:ascii="Times New Roman" w:hAnsi="Times New Roman" w:cs="Times New Roman"/>
          <w:noProof/>
          <w:sz w:val="24"/>
          <w:szCs w:val="24"/>
          <w:lang w:val="en-IE"/>
        </w:rPr>
      </w:pPr>
      <w:r>
        <w:rPr>
          <w:rFonts w:ascii="Times New Roman" w:hAnsi="Times New Roman" w:cs="Times New Roman"/>
          <w:iCs/>
          <w:noProof/>
          <w:sz w:val="24"/>
          <w:szCs w:val="24"/>
        </w:rPr>
        <w:t xml:space="preserve">The evaluation </w:t>
      </w:r>
      <w:r w:rsidR="005927BA">
        <w:rPr>
          <w:rFonts w:ascii="Times New Roman" w:hAnsi="Times New Roman" w:cs="Times New Roman"/>
          <w:iCs/>
          <w:noProof/>
          <w:sz w:val="24"/>
          <w:szCs w:val="24"/>
        </w:rPr>
        <w:t>assesses</w:t>
      </w:r>
      <w:r w:rsidR="00722205" w:rsidRPr="00722205">
        <w:rPr>
          <w:rFonts w:ascii="Times New Roman" w:hAnsi="Times New Roman" w:cs="Times New Roman"/>
          <w:iCs/>
          <w:noProof/>
          <w:sz w:val="24"/>
          <w:szCs w:val="24"/>
        </w:rPr>
        <w:t xml:space="preserve"> the </w:t>
      </w:r>
      <w:r>
        <w:rPr>
          <w:rFonts w:ascii="Times New Roman" w:hAnsi="Times New Roman" w:cs="Times New Roman"/>
          <w:iCs/>
          <w:noProof/>
          <w:sz w:val="24"/>
          <w:szCs w:val="24"/>
        </w:rPr>
        <w:t>impact</w:t>
      </w:r>
      <w:r w:rsidR="004B218C">
        <w:rPr>
          <w:rFonts w:ascii="Times New Roman" w:hAnsi="Times New Roman" w:cs="Times New Roman"/>
          <w:noProof/>
          <w:sz w:val="24"/>
          <w:szCs w:val="24"/>
        </w:rPr>
        <w:t xml:space="preserve"> of the </w:t>
      </w:r>
      <w:r w:rsidR="004B218C" w:rsidRPr="009A39FA">
        <w:rPr>
          <w:rFonts w:ascii="Times New Roman" w:hAnsi="Times New Roman" w:cs="Times New Roman"/>
          <w:noProof/>
          <w:sz w:val="24"/>
          <w:szCs w:val="24"/>
          <w:lang w:val="en-IE"/>
        </w:rPr>
        <w:t xml:space="preserve">Directive </w:t>
      </w:r>
      <w:r w:rsidR="00547FD9">
        <w:rPr>
          <w:rFonts w:ascii="Times New Roman" w:hAnsi="Times New Roman" w:cs="Times New Roman"/>
          <w:noProof/>
          <w:sz w:val="24"/>
          <w:szCs w:val="24"/>
          <w:lang w:val="en-IE"/>
        </w:rPr>
        <w:t>regarding</w:t>
      </w:r>
      <w:r w:rsidR="00547FD9" w:rsidRPr="009A39FA">
        <w:rPr>
          <w:rFonts w:ascii="Times New Roman" w:hAnsi="Times New Roman" w:cs="Times New Roman"/>
          <w:noProof/>
          <w:sz w:val="24"/>
          <w:szCs w:val="24"/>
          <w:lang w:val="en-IE"/>
        </w:rPr>
        <w:t xml:space="preserve"> </w:t>
      </w:r>
      <w:r w:rsidR="004B218C" w:rsidRPr="009A39FA">
        <w:rPr>
          <w:rFonts w:ascii="Times New Roman" w:hAnsi="Times New Roman" w:cs="Times New Roman"/>
          <w:noProof/>
          <w:sz w:val="24"/>
          <w:szCs w:val="24"/>
          <w:lang w:val="en-IE"/>
        </w:rPr>
        <w:t>confiscation of property derivi</w:t>
      </w:r>
      <w:r w:rsidR="004B218C">
        <w:rPr>
          <w:rFonts w:ascii="Times New Roman" w:hAnsi="Times New Roman" w:cs="Times New Roman"/>
          <w:noProof/>
          <w:sz w:val="24"/>
          <w:szCs w:val="24"/>
          <w:lang w:val="en-IE"/>
        </w:rPr>
        <w:t>ng</w:t>
      </w:r>
      <w:r w:rsidR="004B218C" w:rsidRPr="009A39FA">
        <w:rPr>
          <w:rFonts w:ascii="Times New Roman" w:hAnsi="Times New Roman" w:cs="Times New Roman"/>
          <w:noProof/>
          <w:sz w:val="24"/>
          <w:szCs w:val="24"/>
          <w:lang w:val="en-IE"/>
        </w:rPr>
        <w:t xml:space="preserve"> from activities of a criminal nature, including in the absence of a conviction</w:t>
      </w:r>
      <w:r w:rsidR="004B218C">
        <w:rPr>
          <w:rFonts w:ascii="Times New Roman" w:hAnsi="Times New Roman" w:cs="Times New Roman"/>
          <w:noProof/>
          <w:sz w:val="24"/>
          <w:szCs w:val="24"/>
          <w:lang w:val="en-IE"/>
        </w:rPr>
        <w:t>, and</w:t>
      </w:r>
      <w:r w:rsidR="004B218C" w:rsidRPr="009A39FA">
        <w:rPr>
          <w:rFonts w:ascii="Times New Roman" w:hAnsi="Times New Roman" w:cs="Times New Roman"/>
          <w:noProof/>
          <w:sz w:val="24"/>
          <w:szCs w:val="24"/>
          <w:lang w:val="en-IE"/>
        </w:rPr>
        <w:t xml:space="preserve"> the key obstacles </w:t>
      </w:r>
      <w:r w:rsidR="005927BA">
        <w:rPr>
          <w:rFonts w:ascii="Times New Roman" w:hAnsi="Times New Roman" w:cs="Times New Roman"/>
          <w:noProof/>
          <w:sz w:val="24"/>
          <w:szCs w:val="24"/>
          <w:lang w:val="en-IE"/>
        </w:rPr>
        <w:t>for</w:t>
      </w:r>
      <w:r w:rsidR="004B218C" w:rsidRPr="009A39FA">
        <w:rPr>
          <w:rFonts w:ascii="Times New Roman" w:hAnsi="Times New Roman" w:cs="Times New Roman"/>
          <w:noProof/>
          <w:sz w:val="24"/>
          <w:szCs w:val="24"/>
          <w:lang w:val="en-IE"/>
        </w:rPr>
        <w:t xml:space="preserve"> implement</w:t>
      </w:r>
      <w:r w:rsidR="005927BA">
        <w:rPr>
          <w:rFonts w:ascii="Times New Roman" w:hAnsi="Times New Roman" w:cs="Times New Roman"/>
          <w:noProof/>
          <w:sz w:val="24"/>
          <w:szCs w:val="24"/>
          <w:lang w:val="en-IE"/>
        </w:rPr>
        <w:t>ing</w:t>
      </w:r>
      <w:r w:rsidR="004B218C" w:rsidRPr="009A39FA">
        <w:rPr>
          <w:rFonts w:ascii="Times New Roman" w:hAnsi="Times New Roman" w:cs="Times New Roman"/>
          <w:noProof/>
          <w:sz w:val="24"/>
          <w:szCs w:val="24"/>
          <w:lang w:val="en-IE"/>
        </w:rPr>
        <w:t xml:space="preserve"> such confiscation measures</w:t>
      </w:r>
      <w:r w:rsidR="000E4971">
        <w:rPr>
          <w:rFonts w:ascii="Times New Roman" w:hAnsi="Times New Roman" w:cs="Times New Roman"/>
          <w:iCs/>
          <w:noProof/>
          <w:sz w:val="24"/>
          <w:szCs w:val="24"/>
          <w:lang w:val="en-IE"/>
        </w:rPr>
        <w:t>.</w:t>
      </w:r>
      <w:r w:rsidR="009F1699">
        <w:rPr>
          <w:rFonts w:ascii="Times New Roman" w:hAnsi="Times New Roman" w:cs="Times New Roman"/>
          <w:iCs/>
          <w:noProof/>
          <w:sz w:val="24"/>
          <w:szCs w:val="24"/>
          <w:lang w:val="en-IE"/>
        </w:rPr>
        <w:t xml:space="preserve"> Nevertheless, the assessment on the impact of the Directive with regard to confiscation has posed significant challenges.</w:t>
      </w:r>
    </w:p>
    <w:p w14:paraId="66900702" w14:textId="35B5C167" w:rsidR="000D080A" w:rsidRPr="002726AD" w:rsidRDefault="00F32279" w:rsidP="00161031">
      <w:pPr>
        <w:jc w:val="both"/>
        <w:rPr>
          <w:rFonts w:ascii="Times New Roman" w:hAnsi="Times New Roman" w:cs="Times New Roman"/>
          <w:iCs/>
          <w:noProof/>
          <w:sz w:val="24"/>
          <w:szCs w:val="24"/>
        </w:rPr>
      </w:pPr>
      <w:bookmarkStart w:id="34" w:name="_Hlk218850900"/>
      <w:r>
        <w:rPr>
          <w:rFonts w:ascii="Times New Roman" w:hAnsi="Times New Roman" w:cs="Times New Roman"/>
          <w:iCs/>
          <w:noProof/>
          <w:sz w:val="24"/>
          <w:szCs w:val="24"/>
          <w:lang w:val="en-IE"/>
        </w:rPr>
        <w:t xml:space="preserve">First, it should be noted that the Directive </w:t>
      </w:r>
      <w:r w:rsidR="04C781A5" w:rsidRPr="30F11F78">
        <w:rPr>
          <w:rFonts w:ascii="Times New Roman" w:hAnsi="Times New Roman" w:cs="Times New Roman"/>
          <w:noProof/>
          <w:sz w:val="24"/>
          <w:szCs w:val="24"/>
          <w:lang w:val="en-IE"/>
        </w:rPr>
        <w:t>2014 already covered money laundering offences through references to the Council Framework Decision on money laundering from 2001. The Directive criminalising money laundering only</w:t>
      </w:r>
      <w:r w:rsidRPr="30F11F78">
        <w:rPr>
          <w:rFonts w:ascii="Times New Roman" w:hAnsi="Times New Roman" w:cs="Times New Roman"/>
          <w:noProof/>
          <w:sz w:val="24"/>
          <w:szCs w:val="24"/>
          <w:lang w:val="en-IE"/>
        </w:rPr>
        <w:t xml:space="preserve"> </w:t>
      </w:r>
      <w:r w:rsidRPr="30F11F78">
        <w:rPr>
          <w:rFonts w:ascii="Times New Roman" w:hAnsi="Times New Roman" w:cs="Times New Roman"/>
          <w:noProof/>
          <w:sz w:val="24"/>
          <w:szCs w:val="24"/>
        </w:rPr>
        <w:t>expand</w:t>
      </w:r>
      <w:r w:rsidR="4F075C0D" w:rsidRPr="30F11F78">
        <w:rPr>
          <w:rFonts w:ascii="Times New Roman" w:hAnsi="Times New Roman" w:cs="Times New Roman"/>
          <w:noProof/>
          <w:sz w:val="24"/>
          <w:szCs w:val="24"/>
        </w:rPr>
        <w:t>ed these</w:t>
      </w:r>
      <w:r>
        <w:rPr>
          <w:rFonts w:ascii="Times New Roman" w:hAnsi="Times New Roman" w:cs="Times New Roman"/>
          <w:iCs/>
          <w:noProof/>
          <w:sz w:val="24"/>
          <w:szCs w:val="24"/>
        </w:rPr>
        <w:t xml:space="preserve"> existing confiscation measures </w:t>
      </w:r>
      <w:r w:rsidR="4846A91E" w:rsidRPr="30F11F78">
        <w:rPr>
          <w:rFonts w:ascii="Times New Roman" w:hAnsi="Times New Roman" w:cs="Times New Roman"/>
          <w:noProof/>
          <w:sz w:val="24"/>
          <w:szCs w:val="24"/>
        </w:rPr>
        <w:t xml:space="preserve">to </w:t>
      </w:r>
      <w:r w:rsidRPr="30F11F78">
        <w:rPr>
          <w:rFonts w:ascii="Times New Roman" w:hAnsi="Times New Roman" w:cs="Times New Roman"/>
          <w:noProof/>
          <w:sz w:val="24"/>
          <w:szCs w:val="24"/>
        </w:rPr>
        <w:t>the</w:t>
      </w:r>
      <w:r w:rsidR="723A879E" w:rsidRPr="30F11F78">
        <w:rPr>
          <w:rFonts w:ascii="Times New Roman" w:hAnsi="Times New Roman" w:cs="Times New Roman"/>
          <w:noProof/>
          <w:sz w:val="24"/>
          <w:szCs w:val="24"/>
        </w:rPr>
        <w:t xml:space="preserve"> newly introduced</w:t>
      </w:r>
      <w:r>
        <w:rPr>
          <w:rFonts w:ascii="Times New Roman" w:hAnsi="Times New Roman" w:cs="Times New Roman"/>
          <w:iCs/>
          <w:noProof/>
          <w:sz w:val="24"/>
          <w:szCs w:val="24"/>
        </w:rPr>
        <w:t xml:space="preserve"> money laundering offences (e.g.</w:t>
      </w:r>
      <w:r w:rsidR="168F7C92" w:rsidRPr="1B6710B1">
        <w:rPr>
          <w:rFonts w:ascii="Times New Roman" w:hAnsi="Times New Roman" w:cs="Times New Roman"/>
          <w:noProof/>
          <w:sz w:val="24"/>
          <w:szCs w:val="24"/>
        </w:rPr>
        <w:t xml:space="preserve"> the offence of </w:t>
      </w:r>
      <w:r w:rsidR="08FED75A" w:rsidRPr="1B6710B1">
        <w:rPr>
          <w:rFonts w:ascii="Times New Roman" w:hAnsi="Times New Roman" w:cs="Times New Roman"/>
          <w:noProof/>
          <w:sz w:val="24"/>
          <w:szCs w:val="24"/>
        </w:rPr>
        <w:t>self</w:t>
      </w:r>
      <w:r w:rsidR="08FED75A" w:rsidRPr="30F11F78">
        <w:rPr>
          <w:rFonts w:ascii="Times New Roman" w:hAnsi="Times New Roman" w:cs="Times New Roman"/>
          <w:noProof/>
          <w:sz w:val="24"/>
          <w:szCs w:val="24"/>
        </w:rPr>
        <w:t>-</w:t>
      </w:r>
      <w:r>
        <w:rPr>
          <w:rFonts w:ascii="Times New Roman" w:hAnsi="Times New Roman" w:cs="Times New Roman"/>
          <w:iCs/>
          <w:noProof/>
          <w:sz w:val="24"/>
          <w:szCs w:val="24"/>
        </w:rPr>
        <w:t xml:space="preserve">laundering). </w:t>
      </w:r>
      <w:r w:rsidR="00E0265B">
        <w:rPr>
          <w:rFonts w:ascii="Times New Roman" w:hAnsi="Times New Roman" w:cs="Times New Roman"/>
          <w:iCs/>
          <w:noProof/>
          <w:sz w:val="24"/>
          <w:szCs w:val="24"/>
        </w:rPr>
        <w:t>Therefore, the</w:t>
      </w:r>
      <w:r w:rsidR="00F85890">
        <w:rPr>
          <w:rFonts w:ascii="Times New Roman" w:hAnsi="Times New Roman" w:cs="Times New Roman"/>
          <w:iCs/>
          <w:noProof/>
          <w:sz w:val="24"/>
          <w:szCs w:val="24"/>
        </w:rPr>
        <w:t xml:space="preserve"> practical impact of </w:t>
      </w:r>
      <w:r w:rsidR="7C76D23F" w:rsidRPr="30F11F78">
        <w:rPr>
          <w:rFonts w:ascii="Times New Roman" w:hAnsi="Times New Roman" w:cs="Times New Roman"/>
          <w:noProof/>
          <w:sz w:val="24"/>
          <w:szCs w:val="24"/>
        </w:rPr>
        <w:t xml:space="preserve">the </w:t>
      </w:r>
      <w:r w:rsidR="00F85890">
        <w:rPr>
          <w:rFonts w:ascii="Times New Roman" w:hAnsi="Times New Roman" w:cs="Times New Roman"/>
          <w:iCs/>
          <w:noProof/>
          <w:sz w:val="24"/>
          <w:szCs w:val="24"/>
        </w:rPr>
        <w:t xml:space="preserve">provision </w:t>
      </w:r>
      <w:r w:rsidR="4B5BFD13" w:rsidRPr="30F11F78">
        <w:rPr>
          <w:rFonts w:ascii="Times New Roman" w:hAnsi="Times New Roman" w:cs="Times New Roman"/>
          <w:noProof/>
          <w:sz w:val="24"/>
          <w:szCs w:val="24"/>
        </w:rPr>
        <w:t>on confiscation</w:t>
      </w:r>
      <w:r w:rsidR="00F85890" w:rsidRPr="30F11F78">
        <w:rPr>
          <w:rFonts w:ascii="Times New Roman" w:hAnsi="Times New Roman" w:cs="Times New Roman"/>
          <w:noProof/>
          <w:sz w:val="24"/>
          <w:szCs w:val="24"/>
        </w:rPr>
        <w:t xml:space="preserve"> </w:t>
      </w:r>
      <w:r w:rsidR="00F85890">
        <w:rPr>
          <w:rFonts w:ascii="Times New Roman" w:hAnsi="Times New Roman" w:cs="Times New Roman"/>
          <w:iCs/>
          <w:noProof/>
          <w:sz w:val="24"/>
          <w:szCs w:val="24"/>
        </w:rPr>
        <w:t>is difficult to assess</w:t>
      </w:r>
      <w:r>
        <w:rPr>
          <w:rFonts w:ascii="Times New Roman" w:hAnsi="Times New Roman" w:cs="Times New Roman"/>
          <w:iCs/>
          <w:noProof/>
          <w:sz w:val="24"/>
          <w:szCs w:val="24"/>
        </w:rPr>
        <w:t xml:space="preserve">. </w:t>
      </w:r>
      <w:r w:rsidR="00521B70">
        <w:rPr>
          <w:rFonts w:ascii="Times New Roman" w:hAnsi="Times New Roman" w:cs="Times New Roman"/>
          <w:iCs/>
          <w:noProof/>
          <w:sz w:val="24"/>
          <w:szCs w:val="24"/>
        </w:rPr>
        <w:t xml:space="preserve">Secondly, such practical impact would </w:t>
      </w:r>
      <w:r w:rsidR="006D32FA">
        <w:rPr>
          <w:rFonts w:ascii="Times New Roman" w:hAnsi="Times New Roman" w:cs="Times New Roman"/>
          <w:iCs/>
          <w:noProof/>
          <w:sz w:val="24"/>
          <w:szCs w:val="24"/>
        </w:rPr>
        <w:t xml:space="preserve">need to be analysed over </w:t>
      </w:r>
      <w:r w:rsidR="006011EC">
        <w:rPr>
          <w:rFonts w:ascii="Times New Roman" w:hAnsi="Times New Roman" w:cs="Times New Roman"/>
          <w:iCs/>
          <w:noProof/>
          <w:sz w:val="24"/>
          <w:szCs w:val="24"/>
        </w:rPr>
        <w:t xml:space="preserve">a longer period, considering the length of criminal and confiscation </w:t>
      </w:r>
      <w:r w:rsidR="001B4E80">
        <w:rPr>
          <w:rFonts w:ascii="Times New Roman" w:hAnsi="Times New Roman" w:cs="Times New Roman"/>
          <w:iCs/>
          <w:noProof/>
          <w:sz w:val="24"/>
          <w:szCs w:val="24"/>
        </w:rPr>
        <w:t>proceedings</w:t>
      </w:r>
      <w:r w:rsidR="006011EC">
        <w:rPr>
          <w:rFonts w:ascii="Times New Roman" w:hAnsi="Times New Roman" w:cs="Times New Roman"/>
          <w:iCs/>
          <w:noProof/>
          <w:sz w:val="24"/>
          <w:szCs w:val="24"/>
        </w:rPr>
        <w:t xml:space="preserve">. Third, the </w:t>
      </w:r>
      <w:r w:rsidR="00E008E2">
        <w:rPr>
          <w:rFonts w:ascii="Times New Roman" w:hAnsi="Times New Roman" w:cs="Times New Roman"/>
          <w:iCs/>
          <w:noProof/>
          <w:sz w:val="24"/>
          <w:szCs w:val="24"/>
        </w:rPr>
        <w:t xml:space="preserve">confiscation regime in the EU has been significantly reinforced in the meantime, with the </w:t>
      </w:r>
      <w:r w:rsidR="008B2257">
        <w:rPr>
          <w:rFonts w:ascii="Times New Roman" w:hAnsi="Times New Roman" w:cs="Times New Roman"/>
          <w:iCs/>
          <w:noProof/>
          <w:sz w:val="24"/>
          <w:szCs w:val="24"/>
        </w:rPr>
        <w:t>2024</w:t>
      </w:r>
      <w:r w:rsidR="00E008E2">
        <w:rPr>
          <w:rFonts w:ascii="Times New Roman" w:hAnsi="Times New Roman" w:cs="Times New Roman"/>
          <w:iCs/>
          <w:noProof/>
          <w:sz w:val="24"/>
          <w:szCs w:val="24"/>
        </w:rPr>
        <w:t xml:space="preserve"> Directive on asset recovery and confiscation</w:t>
      </w:r>
      <w:r w:rsidR="008B2257" w:rsidRPr="16C8BABC">
        <w:rPr>
          <w:rStyle w:val="FootnoteReference"/>
          <w:rFonts w:ascii="Times New Roman" w:hAnsi="Times New Roman" w:cs="Times New Roman"/>
          <w:noProof/>
        </w:rPr>
        <w:footnoteReference w:id="34"/>
      </w:r>
      <w:r w:rsidR="00E008E2">
        <w:rPr>
          <w:rFonts w:ascii="Times New Roman" w:hAnsi="Times New Roman" w:cs="Times New Roman"/>
          <w:iCs/>
          <w:noProof/>
          <w:sz w:val="24"/>
          <w:szCs w:val="24"/>
        </w:rPr>
        <w:t xml:space="preserve"> </w:t>
      </w:r>
      <w:r w:rsidR="00CF0178">
        <w:rPr>
          <w:rFonts w:ascii="Times New Roman" w:hAnsi="Times New Roman" w:cs="Times New Roman"/>
          <w:iCs/>
          <w:noProof/>
          <w:sz w:val="24"/>
          <w:szCs w:val="24"/>
        </w:rPr>
        <w:t xml:space="preserve">bringing in new possibilities, notably in relation to </w:t>
      </w:r>
      <w:r w:rsidR="008B2257">
        <w:rPr>
          <w:rFonts w:ascii="Times New Roman" w:hAnsi="Times New Roman" w:cs="Times New Roman"/>
          <w:iCs/>
          <w:noProof/>
          <w:sz w:val="24"/>
          <w:szCs w:val="24"/>
        </w:rPr>
        <w:t xml:space="preserve">non-conviction based confiscation. Therefore, such aspects </w:t>
      </w:r>
      <w:r w:rsidR="00D93C9A">
        <w:rPr>
          <w:rFonts w:ascii="Times New Roman" w:hAnsi="Times New Roman" w:cs="Times New Roman"/>
          <w:iCs/>
          <w:noProof/>
          <w:sz w:val="24"/>
          <w:szCs w:val="24"/>
        </w:rPr>
        <w:t xml:space="preserve">can only be analysed </w:t>
      </w:r>
      <w:r w:rsidR="00394E83">
        <w:rPr>
          <w:rFonts w:ascii="Times New Roman" w:hAnsi="Times New Roman" w:cs="Times New Roman"/>
          <w:iCs/>
          <w:noProof/>
          <w:sz w:val="24"/>
          <w:szCs w:val="24"/>
        </w:rPr>
        <w:t>as part of</w:t>
      </w:r>
      <w:r w:rsidR="00D93C9A">
        <w:rPr>
          <w:rFonts w:ascii="Times New Roman" w:hAnsi="Times New Roman" w:cs="Times New Roman"/>
          <w:iCs/>
          <w:noProof/>
          <w:sz w:val="24"/>
          <w:szCs w:val="24"/>
        </w:rPr>
        <w:t xml:space="preserve"> the evaluation of </w:t>
      </w:r>
      <w:r w:rsidR="00B15B22">
        <w:rPr>
          <w:rFonts w:ascii="Times New Roman" w:hAnsi="Times New Roman" w:cs="Times New Roman"/>
          <w:iCs/>
          <w:noProof/>
          <w:sz w:val="24"/>
          <w:szCs w:val="24"/>
        </w:rPr>
        <w:t>the latter</w:t>
      </w:r>
      <w:r w:rsidR="0048330A">
        <w:rPr>
          <w:rFonts w:ascii="Times New Roman" w:hAnsi="Times New Roman" w:cs="Times New Roman"/>
          <w:iCs/>
          <w:noProof/>
          <w:sz w:val="24"/>
          <w:szCs w:val="24"/>
        </w:rPr>
        <w:t xml:space="preserve"> instrument</w:t>
      </w:r>
      <w:r w:rsidR="006B7C01">
        <w:rPr>
          <w:rFonts w:ascii="Times New Roman" w:hAnsi="Times New Roman" w:cs="Times New Roman"/>
          <w:iCs/>
          <w:noProof/>
          <w:sz w:val="24"/>
          <w:szCs w:val="24"/>
        </w:rPr>
        <w:t>. T</w:t>
      </w:r>
      <w:r w:rsidR="0048330A">
        <w:rPr>
          <w:rFonts w:ascii="Times New Roman" w:hAnsi="Times New Roman" w:cs="Times New Roman"/>
          <w:iCs/>
          <w:noProof/>
          <w:sz w:val="24"/>
          <w:szCs w:val="24"/>
        </w:rPr>
        <w:t xml:space="preserve">he </w:t>
      </w:r>
      <w:r w:rsidR="0048330A" w:rsidRPr="0048330A">
        <w:rPr>
          <w:rFonts w:ascii="Times New Roman" w:hAnsi="Times New Roman" w:cs="Times New Roman"/>
          <w:iCs/>
          <w:noProof/>
          <w:sz w:val="24"/>
          <w:szCs w:val="24"/>
        </w:rPr>
        <w:t xml:space="preserve">Commission </w:t>
      </w:r>
      <w:r w:rsidR="006B7C01">
        <w:rPr>
          <w:rFonts w:ascii="Times New Roman" w:hAnsi="Times New Roman" w:cs="Times New Roman"/>
          <w:iCs/>
          <w:noProof/>
          <w:sz w:val="24"/>
          <w:szCs w:val="24"/>
        </w:rPr>
        <w:t>is required to</w:t>
      </w:r>
      <w:r w:rsidR="006B7C01" w:rsidRPr="0048330A">
        <w:rPr>
          <w:rFonts w:ascii="Times New Roman" w:hAnsi="Times New Roman" w:cs="Times New Roman"/>
          <w:iCs/>
          <w:noProof/>
          <w:sz w:val="24"/>
          <w:szCs w:val="24"/>
        </w:rPr>
        <w:t xml:space="preserve"> </w:t>
      </w:r>
      <w:r w:rsidR="0048330A" w:rsidRPr="0048330A">
        <w:rPr>
          <w:rFonts w:ascii="Times New Roman" w:hAnsi="Times New Roman" w:cs="Times New Roman"/>
          <w:iCs/>
          <w:noProof/>
          <w:sz w:val="24"/>
          <w:szCs w:val="24"/>
        </w:rPr>
        <w:t>submit</w:t>
      </w:r>
      <w:r w:rsidR="006B7C01">
        <w:rPr>
          <w:rFonts w:ascii="Times New Roman" w:hAnsi="Times New Roman" w:cs="Times New Roman"/>
          <w:iCs/>
          <w:noProof/>
          <w:sz w:val="24"/>
          <w:szCs w:val="24"/>
        </w:rPr>
        <w:t xml:space="preserve"> that evaluation</w:t>
      </w:r>
      <w:r w:rsidR="0048330A" w:rsidRPr="0048330A">
        <w:rPr>
          <w:rFonts w:ascii="Times New Roman" w:hAnsi="Times New Roman" w:cs="Times New Roman"/>
          <w:iCs/>
          <w:noProof/>
          <w:sz w:val="24"/>
          <w:szCs w:val="24"/>
        </w:rPr>
        <w:t xml:space="preserve"> </w:t>
      </w:r>
      <w:r w:rsidR="0048330A" w:rsidRPr="002726AD">
        <w:rPr>
          <w:rFonts w:ascii="Times New Roman" w:hAnsi="Times New Roman" w:cs="Times New Roman"/>
          <w:iCs/>
          <w:noProof/>
          <w:sz w:val="24"/>
          <w:szCs w:val="24"/>
        </w:rPr>
        <w:t>to the European Parliament and to the Council by 24 November 2031.</w:t>
      </w:r>
      <w:bookmarkEnd w:id="34"/>
    </w:p>
    <w:p w14:paraId="28BB375E" w14:textId="4639092C" w:rsidR="00843468" w:rsidRPr="000961C4" w:rsidRDefault="00843468" w:rsidP="00843468">
      <w:pPr>
        <w:pStyle w:val="ListParagraph"/>
        <w:numPr>
          <w:ilvl w:val="0"/>
          <w:numId w:val="59"/>
        </w:numPr>
        <w:rPr>
          <w:b/>
          <w:bCs/>
          <w:i/>
          <w:iCs/>
          <w:noProof/>
          <w:szCs w:val="24"/>
          <w:lang w:val="en-IE"/>
        </w:rPr>
      </w:pPr>
      <w:r w:rsidRPr="00F02686">
        <w:rPr>
          <w:b/>
          <w:bCs/>
          <w:i/>
          <w:iCs/>
          <w:noProof/>
          <w:szCs w:val="24"/>
          <w:lang w:val="en-IE"/>
        </w:rPr>
        <w:t>Jurisdiction (Article 10)</w:t>
      </w:r>
    </w:p>
    <w:p w14:paraId="7535BA19" w14:textId="2CF9BCE3" w:rsidR="004B2DF8" w:rsidRPr="000961C4" w:rsidRDefault="00843468" w:rsidP="00F02686">
      <w:pPr>
        <w:spacing w:after="0"/>
        <w:jc w:val="both"/>
        <w:rPr>
          <w:rFonts w:ascii="Times New Roman" w:hAnsi="Times New Roman" w:cs="Times New Roman"/>
          <w:noProof/>
          <w:sz w:val="24"/>
          <w:szCs w:val="24"/>
        </w:rPr>
      </w:pPr>
      <w:r w:rsidRPr="00F02686">
        <w:rPr>
          <w:rFonts w:ascii="Times New Roman" w:hAnsi="Times New Roman" w:cs="Times New Roman"/>
          <w:noProof/>
          <w:sz w:val="24"/>
          <w:szCs w:val="24"/>
        </w:rPr>
        <w:t>Article 10 requires Member States to establish jurisdiction over money laundering offences committed on their territory or by their nationals, and allows for optional extension of jurisdiction to offences committed abroad by habitual residents or for the benefit of locally established legal persons, while providing that where multiple Member States have jurisdiction over the same facts, they shall cooperate – involving Eurojust where appropriate – to centralise proceedings in a single Member State.</w:t>
      </w:r>
    </w:p>
    <w:p w14:paraId="31F852F3" w14:textId="27437DF6" w:rsidR="000961C4" w:rsidRPr="00F02686" w:rsidRDefault="000961C4" w:rsidP="00F02686">
      <w:pPr>
        <w:spacing w:after="0"/>
        <w:jc w:val="both"/>
        <w:rPr>
          <w:rFonts w:ascii="Times New Roman" w:hAnsi="Times New Roman" w:cs="Times New Roman"/>
          <w:noProof/>
          <w:sz w:val="24"/>
          <w:szCs w:val="24"/>
        </w:rPr>
      </w:pPr>
      <w:r w:rsidRPr="00F02686">
        <w:rPr>
          <w:rFonts w:ascii="Times New Roman" w:eastAsia="Calibri Light" w:hAnsi="Times New Roman" w:cs="Times New Roman"/>
          <w:noProof/>
          <w:sz w:val="24"/>
          <w:szCs w:val="24"/>
          <w:lang w:val="en-IE"/>
        </w:rPr>
        <w:t xml:space="preserve">It should be noted that the provision concerning the establishment of </w:t>
      </w:r>
      <w:r w:rsidRPr="00F02686">
        <w:rPr>
          <w:rFonts w:ascii="Times New Roman" w:eastAsia="Calibri Light" w:hAnsi="Times New Roman" w:cs="Times New Roman"/>
          <w:b/>
          <w:bCs/>
          <w:noProof/>
          <w:sz w:val="24"/>
          <w:szCs w:val="24"/>
          <w:lang w:val="en-IE"/>
        </w:rPr>
        <w:t>jurisdiction over money laundering offences</w:t>
      </w:r>
      <w:r w:rsidRPr="00F02686">
        <w:rPr>
          <w:rFonts w:ascii="Times New Roman" w:eastAsia="Calibri Light" w:hAnsi="Times New Roman" w:cs="Times New Roman"/>
          <w:noProof/>
          <w:sz w:val="24"/>
          <w:szCs w:val="24"/>
          <w:lang w:val="en-IE"/>
        </w:rPr>
        <w:t xml:space="preserve"> – specifically in the instance where the offender is a national of the Member State, pursuant to </w:t>
      </w:r>
      <w:r w:rsidRPr="00F02686">
        <w:rPr>
          <w:rFonts w:ascii="Times New Roman" w:eastAsia="Calibri Light" w:hAnsi="Times New Roman" w:cs="Times New Roman"/>
          <w:b/>
          <w:bCs/>
          <w:noProof/>
          <w:sz w:val="24"/>
          <w:szCs w:val="24"/>
          <w:lang w:val="en-IE"/>
        </w:rPr>
        <w:t>Article 10(1)(b)</w:t>
      </w:r>
      <w:r w:rsidRPr="00F02686">
        <w:rPr>
          <w:rFonts w:ascii="Times New Roman" w:eastAsia="Calibri Light" w:hAnsi="Times New Roman" w:cs="Times New Roman"/>
          <w:noProof/>
          <w:sz w:val="24"/>
          <w:szCs w:val="24"/>
          <w:lang w:val="en-IE"/>
        </w:rPr>
        <w:t xml:space="preserve"> – </w:t>
      </w:r>
      <w:r>
        <w:rPr>
          <w:rFonts w:ascii="Times New Roman" w:eastAsia="Calibri Light" w:hAnsi="Times New Roman" w:cs="Times New Roman"/>
          <w:noProof/>
          <w:sz w:val="24"/>
          <w:szCs w:val="24"/>
          <w:lang w:val="en-IE"/>
        </w:rPr>
        <w:t>was</w:t>
      </w:r>
      <w:r w:rsidRPr="00F02686">
        <w:rPr>
          <w:rFonts w:ascii="Times New Roman" w:eastAsia="Calibri Light" w:hAnsi="Times New Roman" w:cs="Times New Roman"/>
          <w:noProof/>
          <w:sz w:val="24"/>
          <w:szCs w:val="24"/>
          <w:lang w:val="en-IE"/>
        </w:rPr>
        <w:t xml:space="preserve"> transposed in a divergent manner, particularly with respect to the requirement of </w:t>
      </w:r>
      <w:r w:rsidRPr="00F02686">
        <w:rPr>
          <w:rFonts w:ascii="Times New Roman" w:eastAsia="Calibri Light" w:hAnsi="Times New Roman" w:cs="Times New Roman"/>
          <w:b/>
          <w:bCs/>
          <w:noProof/>
          <w:sz w:val="24"/>
          <w:szCs w:val="24"/>
          <w:lang w:val="en-IE"/>
        </w:rPr>
        <w:t>double criminality</w:t>
      </w:r>
      <w:r w:rsidRPr="00F02686">
        <w:rPr>
          <w:rStyle w:val="FootnoteReference"/>
          <w:rFonts w:ascii="Times New Roman" w:eastAsia="Calibri Light" w:hAnsi="Times New Roman" w:cs="Times New Roman"/>
          <w:noProof/>
          <w:sz w:val="24"/>
          <w:szCs w:val="24"/>
          <w:lang w:val="en-IE"/>
        </w:rPr>
        <w:footnoteReference w:id="35"/>
      </w:r>
      <w:r w:rsidRPr="00F02686">
        <w:rPr>
          <w:rFonts w:ascii="Times New Roman" w:eastAsia="Calibri Light" w:hAnsi="Times New Roman" w:cs="Times New Roman"/>
          <w:noProof/>
          <w:sz w:val="24"/>
          <w:szCs w:val="24"/>
          <w:lang w:val="en-IE"/>
        </w:rPr>
        <w:t>.</w:t>
      </w:r>
    </w:p>
    <w:p w14:paraId="0AA84DA8" w14:textId="77777777" w:rsidR="00843468" w:rsidRPr="00F02686" w:rsidRDefault="00843468" w:rsidP="00843468">
      <w:pPr>
        <w:jc w:val="both"/>
        <w:rPr>
          <w:rFonts w:ascii="Times New Roman" w:hAnsi="Times New Roman" w:cs="Times New Roman"/>
          <w:noProof/>
          <w:szCs w:val="24"/>
          <w:lang w:val="en-IE"/>
        </w:rPr>
      </w:pPr>
    </w:p>
    <w:p w14:paraId="59356125" w14:textId="413FECD8" w:rsidR="00E2113B" w:rsidRDefault="0020068A" w:rsidP="00161031">
      <w:pPr>
        <w:pStyle w:val="Heading4"/>
        <w:jc w:val="both"/>
        <w:rPr>
          <w:rFonts w:ascii="Times New Roman" w:eastAsia="Calibri" w:hAnsi="Times New Roman" w:cs="Times New Roman"/>
          <w:b/>
          <w:bCs/>
          <w:i w:val="0"/>
          <w:iCs w:val="0"/>
          <w:noProof/>
          <w:color w:val="000000" w:themeColor="text1"/>
          <w:sz w:val="24"/>
          <w:szCs w:val="24"/>
          <w:lang w:val="en-IE"/>
        </w:rPr>
      </w:pPr>
      <w:r w:rsidRPr="00575CC5">
        <w:rPr>
          <w:rFonts w:ascii="Times New Roman" w:hAnsi="Times New Roman" w:cs="Times New Roman"/>
          <w:b/>
          <w:bCs/>
          <w:i w:val="0"/>
          <w:iCs w:val="0"/>
          <w:noProof/>
          <w:color w:val="000000" w:themeColor="text1"/>
          <w:sz w:val="24"/>
          <w:szCs w:val="24"/>
          <w:lang w:val="en-IE"/>
        </w:rPr>
        <w:t>4.1.1.</w:t>
      </w:r>
      <w:r w:rsidR="001E5DD2">
        <w:rPr>
          <w:rFonts w:ascii="Times New Roman" w:hAnsi="Times New Roman" w:cs="Times New Roman"/>
          <w:b/>
          <w:bCs/>
          <w:i w:val="0"/>
          <w:iCs w:val="0"/>
          <w:noProof/>
          <w:color w:val="000000" w:themeColor="text1"/>
          <w:sz w:val="24"/>
          <w:szCs w:val="24"/>
          <w:lang w:val="en-IE"/>
        </w:rPr>
        <w:t>2</w:t>
      </w:r>
      <w:r w:rsidR="001E5DD2" w:rsidRPr="00575CC5">
        <w:rPr>
          <w:rFonts w:ascii="Times New Roman" w:hAnsi="Times New Roman" w:cs="Times New Roman"/>
          <w:b/>
          <w:bCs/>
          <w:i w:val="0"/>
          <w:iCs w:val="0"/>
          <w:noProof/>
          <w:color w:val="000000" w:themeColor="text1"/>
          <w:sz w:val="24"/>
          <w:szCs w:val="24"/>
          <w:lang w:val="en-IE"/>
        </w:rPr>
        <w:t xml:space="preserve"> </w:t>
      </w:r>
      <w:r w:rsidRPr="00575CC5">
        <w:rPr>
          <w:rFonts w:ascii="Times New Roman" w:eastAsia="Calibri" w:hAnsi="Times New Roman" w:cs="Times New Roman"/>
          <w:b/>
          <w:bCs/>
          <w:i w:val="0"/>
          <w:iCs w:val="0"/>
          <w:noProof/>
          <w:color w:val="000000" w:themeColor="text1"/>
          <w:sz w:val="24"/>
          <w:szCs w:val="24"/>
          <w:lang w:val="en-IE"/>
        </w:rPr>
        <w:t>Facilitating investigation and prosecution of money laundering and use of investigative tools</w:t>
      </w:r>
    </w:p>
    <w:p w14:paraId="19B0196B" w14:textId="77777777" w:rsidR="00533160" w:rsidRPr="00575CC5" w:rsidRDefault="00533160" w:rsidP="00161031">
      <w:pPr>
        <w:spacing w:after="0"/>
        <w:rPr>
          <w:rFonts w:ascii="Times New Roman" w:hAnsi="Times New Roman" w:cs="Times New Roman"/>
          <w:i/>
          <w:iCs/>
          <w:noProof/>
          <w:lang w:val="en-IE"/>
        </w:rPr>
      </w:pPr>
    </w:p>
    <w:p w14:paraId="6933F7A3" w14:textId="0537125C" w:rsidR="0020068A" w:rsidRPr="00575CC5" w:rsidRDefault="0066670A" w:rsidP="00161031">
      <w:pPr>
        <w:jc w:val="both"/>
        <w:rPr>
          <w:rFonts w:ascii="Times New Roman" w:hAnsi="Times New Roman" w:cs="Times New Roman"/>
          <w:iCs/>
          <w:noProof/>
          <w:sz w:val="24"/>
          <w:szCs w:val="24"/>
          <w:lang w:val="en-IE"/>
        </w:rPr>
      </w:pPr>
      <w:r w:rsidRPr="0066670A">
        <w:rPr>
          <w:rFonts w:ascii="Times New Roman" w:hAnsi="Times New Roman" w:cs="Times New Roman"/>
          <w:iCs/>
          <w:noProof/>
          <w:sz w:val="24"/>
          <w:szCs w:val="24"/>
          <w:lang w:val="en-IE"/>
        </w:rPr>
        <w:t xml:space="preserve">Among other </w:t>
      </w:r>
      <w:r w:rsidR="006B7C01">
        <w:rPr>
          <w:rFonts w:ascii="Times New Roman" w:hAnsi="Times New Roman" w:cs="Times New Roman"/>
          <w:iCs/>
          <w:noProof/>
          <w:sz w:val="24"/>
          <w:szCs w:val="24"/>
          <w:lang w:val="en-IE"/>
        </w:rPr>
        <w:t>things</w:t>
      </w:r>
      <w:r w:rsidRPr="0066670A">
        <w:rPr>
          <w:rFonts w:ascii="Times New Roman" w:hAnsi="Times New Roman" w:cs="Times New Roman"/>
          <w:iCs/>
          <w:noProof/>
          <w:sz w:val="24"/>
          <w:szCs w:val="24"/>
          <w:lang w:val="en-IE"/>
        </w:rPr>
        <w:t xml:space="preserve">, the evaluation aims </w:t>
      </w:r>
      <w:r w:rsidR="00736648">
        <w:rPr>
          <w:rFonts w:ascii="Times New Roman" w:hAnsi="Times New Roman" w:cs="Times New Roman"/>
          <w:iCs/>
          <w:noProof/>
          <w:sz w:val="24"/>
          <w:szCs w:val="24"/>
          <w:lang w:val="en-IE"/>
        </w:rPr>
        <w:t>to establish</w:t>
      </w:r>
      <w:r w:rsidRPr="0066670A">
        <w:rPr>
          <w:rFonts w:ascii="Times New Roman" w:hAnsi="Times New Roman" w:cs="Times New Roman"/>
          <w:iCs/>
          <w:noProof/>
          <w:sz w:val="24"/>
          <w:szCs w:val="24"/>
          <w:lang w:val="en-IE"/>
        </w:rPr>
        <w:t xml:space="preserve"> the extent to which the application of the Directive has contributed to facilitating the investigation and prosecution of money laundering in the Member States and at EU level. </w:t>
      </w:r>
      <w:r w:rsidR="002D7B0B">
        <w:rPr>
          <w:rFonts w:ascii="Times New Roman" w:hAnsi="Times New Roman" w:cs="Times New Roman"/>
          <w:iCs/>
          <w:noProof/>
          <w:sz w:val="24"/>
          <w:szCs w:val="24"/>
          <w:lang w:val="en-IE"/>
        </w:rPr>
        <w:t xml:space="preserve">Overall, </w:t>
      </w:r>
      <w:r w:rsidR="0020068A" w:rsidRPr="00575CC5">
        <w:rPr>
          <w:rFonts w:ascii="Times New Roman" w:hAnsi="Times New Roman" w:cs="Times New Roman"/>
          <w:iCs/>
          <w:noProof/>
          <w:sz w:val="24"/>
          <w:szCs w:val="24"/>
          <w:lang w:val="en-IE"/>
        </w:rPr>
        <w:t xml:space="preserve">Directive (EU) 2018/1673 </w:t>
      </w:r>
      <w:r w:rsidR="00A822CD">
        <w:rPr>
          <w:rFonts w:ascii="Times New Roman" w:hAnsi="Times New Roman" w:cs="Times New Roman"/>
          <w:iCs/>
          <w:noProof/>
          <w:sz w:val="24"/>
          <w:szCs w:val="24"/>
          <w:lang w:val="en-IE"/>
        </w:rPr>
        <w:t>has contributed</w:t>
      </w:r>
      <w:r w:rsidR="0020068A" w:rsidRPr="00575CC5">
        <w:rPr>
          <w:rFonts w:ascii="Times New Roman" w:hAnsi="Times New Roman" w:cs="Times New Roman"/>
          <w:iCs/>
          <w:noProof/>
          <w:sz w:val="24"/>
          <w:szCs w:val="24"/>
          <w:lang w:val="en-IE"/>
        </w:rPr>
        <w:t xml:space="preserve"> to strengthen</w:t>
      </w:r>
      <w:r w:rsidR="00A822CD">
        <w:rPr>
          <w:rFonts w:ascii="Times New Roman" w:hAnsi="Times New Roman" w:cs="Times New Roman"/>
          <w:iCs/>
          <w:noProof/>
          <w:sz w:val="24"/>
          <w:szCs w:val="24"/>
          <w:lang w:val="en-IE"/>
        </w:rPr>
        <w:t>ing</w:t>
      </w:r>
      <w:r w:rsidR="0020068A" w:rsidRPr="00575CC5">
        <w:rPr>
          <w:rFonts w:ascii="Times New Roman" w:hAnsi="Times New Roman" w:cs="Times New Roman"/>
          <w:iCs/>
          <w:noProof/>
          <w:sz w:val="24"/>
          <w:szCs w:val="24"/>
          <w:lang w:val="en-IE"/>
        </w:rPr>
        <w:t xml:space="preserve"> the investigation and prosecution of money laundering across the EU</w:t>
      </w:r>
      <w:r w:rsidR="000C2F0F">
        <w:rPr>
          <w:rFonts w:ascii="Times New Roman" w:hAnsi="Times New Roman" w:cs="Times New Roman"/>
          <w:iCs/>
          <w:noProof/>
          <w:sz w:val="24"/>
          <w:szCs w:val="24"/>
          <w:lang w:val="en-IE"/>
        </w:rPr>
        <w:t xml:space="preserve">, notably </w:t>
      </w:r>
      <w:r w:rsidR="007F6835">
        <w:rPr>
          <w:rFonts w:ascii="Times New Roman" w:hAnsi="Times New Roman" w:cs="Times New Roman"/>
          <w:iCs/>
          <w:noProof/>
          <w:sz w:val="24"/>
          <w:szCs w:val="24"/>
          <w:lang w:val="en-IE"/>
        </w:rPr>
        <w:t xml:space="preserve">thanks to </w:t>
      </w:r>
      <w:r w:rsidR="000C2F0F">
        <w:rPr>
          <w:rFonts w:ascii="Times New Roman" w:hAnsi="Times New Roman" w:cs="Times New Roman"/>
          <w:iCs/>
          <w:noProof/>
          <w:sz w:val="24"/>
          <w:szCs w:val="24"/>
          <w:lang w:val="en-IE"/>
        </w:rPr>
        <w:t xml:space="preserve">the </w:t>
      </w:r>
      <w:r w:rsidR="007F6835">
        <w:rPr>
          <w:rFonts w:ascii="Times New Roman" w:hAnsi="Times New Roman" w:cs="Times New Roman"/>
          <w:iCs/>
          <w:noProof/>
          <w:sz w:val="24"/>
          <w:szCs w:val="24"/>
          <w:lang w:val="en-IE"/>
        </w:rPr>
        <w:t>introduction of the stand-alone money laundering offence</w:t>
      </w:r>
      <w:r w:rsidR="0020068A" w:rsidRPr="00575CC5">
        <w:rPr>
          <w:rFonts w:ascii="Times New Roman" w:hAnsi="Times New Roman" w:cs="Times New Roman"/>
          <w:iCs/>
          <w:noProof/>
          <w:sz w:val="24"/>
          <w:szCs w:val="24"/>
          <w:lang w:val="en-IE"/>
        </w:rPr>
        <w:t>. However, its implementation has produced mixed outcomes, with stakeholders reporting both improvements and ongoing challenges</w:t>
      </w:r>
      <w:r w:rsidR="00D20938">
        <w:rPr>
          <w:rFonts w:ascii="Times New Roman" w:hAnsi="Times New Roman" w:cs="Times New Roman"/>
          <w:iCs/>
          <w:noProof/>
          <w:sz w:val="24"/>
          <w:szCs w:val="24"/>
          <w:lang w:val="en-IE"/>
        </w:rPr>
        <w:t xml:space="preserve"> when asked </w:t>
      </w:r>
      <w:r w:rsidR="005927BA">
        <w:rPr>
          <w:rFonts w:ascii="Times New Roman" w:hAnsi="Times New Roman" w:cs="Times New Roman"/>
          <w:iCs/>
          <w:noProof/>
          <w:sz w:val="24"/>
          <w:szCs w:val="24"/>
          <w:lang w:val="en-IE"/>
        </w:rPr>
        <w:t>i</w:t>
      </w:r>
      <w:r w:rsidR="00D20938">
        <w:rPr>
          <w:rFonts w:ascii="Times New Roman" w:hAnsi="Times New Roman" w:cs="Times New Roman"/>
          <w:iCs/>
          <w:noProof/>
          <w:sz w:val="24"/>
          <w:szCs w:val="24"/>
          <w:lang w:val="en-IE"/>
        </w:rPr>
        <w:t>f the Directive facilitated their investigations into money laundering</w:t>
      </w:r>
      <w:r w:rsidR="0020068A" w:rsidRPr="00575CC5">
        <w:rPr>
          <w:rFonts w:ascii="Times New Roman" w:hAnsi="Times New Roman" w:cs="Times New Roman"/>
          <w:iCs/>
          <w:noProof/>
          <w:sz w:val="24"/>
          <w:szCs w:val="24"/>
          <w:lang w:val="en-IE"/>
        </w:rPr>
        <w:t xml:space="preserve">. While the Directive </w:t>
      </w:r>
      <w:r w:rsidR="005927BA">
        <w:rPr>
          <w:rFonts w:ascii="Times New Roman" w:hAnsi="Times New Roman" w:cs="Times New Roman"/>
          <w:iCs/>
          <w:noProof/>
          <w:sz w:val="24"/>
          <w:szCs w:val="24"/>
          <w:lang w:val="en-IE"/>
        </w:rPr>
        <w:t xml:space="preserve">did </w:t>
      </w:r>
      <w:r w:rsidR="0020068A" w:rsidRPr="00575CC5">
        <w:rPr>
          <w:rFonts w:ascii="Times New Roman" w:hAnsi="Times New Roman" w:cs="Times New Roman"/>
          <w:iCs/>
          <w:noProof/>
          <w:sz w:val="24"/>
          <w:szCs w:val="24"/>
          <w:lang w:val="en-IE"/>
        </w:rPr>
        <w:t>approximate national legislation, divergent interpretations and applications continue to affect its overall effectiveness. This section examines how these differences influence investigations and prosecutions.</w:t>
      </w:r>
    </w:p>
    <w:p w14:paraId="11CF4070" w14:textId="2FD0A7E5" w:rsidR="0020068A" w:rsidRPr="00575CC5" w:rsidRDefault="00D0778E" w:rsidP="00161031">
      <w:pPr>
        <w:jc w:val="both"/>
        <w:rPr>
          <w:rFonts w:ascii="Times New Roman" w:hAnsi="Times New Roman" w:cs="Times New Roman"/>
          <w:iCs/>
          <w:noProof/>
          <w:sz w:val="24"/>
          <w:szCs w:val="24"/>
          <w:lang w:val="en-IE"/>
        </w:rPr>
      </w:pPr>
      <w:r w:rsidRPr="009A39FA">
        <w:rPr>
          <w:rFonts w:ascii="Times New Roman" w:hAnsi="Times New Roman" w:cs="Times New Roman"/>
          <w:bCs/>
          <w:iCs/>
          <w:noProof/>
          <w:sz w:val="24"/>
          <w:szCs w:val="24"/>
          <w:lang w:val="en-IE"/>
        </w:rPr>
        <w:t>As indicated above,</w:t>
      </w:r>
      <w:r>
        <w:rPr>
          <w:rFonts w:ascii="Times New Roman" w:hAnsi="Times New Roman" w:cs="Times New Roman"/>
          <w:b/>
          <w:iCs/>
          <w:noProof/>
          <w:sz w:val="24"/>
          <w:szCs w:val="24"/>
          <w:lang w:val="en-IE"/>
        </w:rPr>
        <w:t xml:space="preserve"> </w:t>
      </w:r>
      <w:r w:rsidR="00B0326F">
        <w:rPr>
          <w:rFonts w:ascii="Times New Roman" w:hAnsi="Times New Roman" w:cs="Times New Roman"/>
          <w:b/>
          <w:iCs/>
          <w:noProof/>
          <w:sz w:val="24"/>
          <w:szCs w:val="24"/>
          <w:lang w:val="en-IE"/>
        </w:rPr>
        <w:t>j</w:t>
      </w:r>
      <w:r w:rsidR="00B0326F" w:rsidRPr="00575CC5">
        <w:rPr>
          <w:rFonts w:ascii="Times New Roman" w:hAnsi="Times New Roman" w:cs="Times New Roman"/>
          <w:b/>
          <w:iCs/>
          <w:noProof/>
          <w:sz w:val="24"/>
          <w:szCs w:val="24"/>
          <w:lang w:val="en-IE"/>
        </w:rPr>
        <w:t xml:space="preserve">udicial </w:t>
      </w:r>
      <w:r w:rsidR="00B0326F">
        <w:rPr>
          <w:rFonts w:ascii="Times New Roman" w:hAnsi="Times New Roman" w:cs="Times New Roman"/>
          <w:b/>
          <w:iCs/>
          <w:noProof/>
          <w:sz w:val="24"/>
          <w:szCs w:val="24"/>
          <w:lang w:val="en-IE"/>
        </w:rPr>
        <w:t>a</w:t>
      </w:r>
      <w:r w:rsidR="0020068A" w:rsidRPr="00575CC5">
        <w:rPr>
          <w:rFonts w:ascii="Times New Roman" w:hAnsi="Times New Roman" w:cs="Times New Roman"/>
          <w:b/>
          <w:iCs/>
          <w:noProof/>
          <w:sz w:val="24"/>
          <w:szCs w:val="24"/>
          <w:lang w:val="en-IE"/>
        </w:rPr>
        <w:t>uthorities</w:t>
      </w:r>
      <w:r w:rsidR="0020068A" w:rsidRPr="00575CC5">
        <w:rPr>
          <w:rFonts w:ascii="Times New Roman" w:hAnsi="Times New Roman" w:cs="Times New Roman"/>
          <w:iCs/>
          <w:noProof/>
          <w:sz w:val="24"/>
          <w:szCs w:val="24"/>
          <w:lang w:val="en-IE"/>
        </w:rPr>
        <w:t xml:space="preserve"> reported uneven effects</w:t>
      </w:r>
      <w:r>
        <w:rPr>
          <w:rFonts w:ascii="Times New Roman" w:hAnsi="Times New Roman" w:cs="Times New Roman"/>
          <w:iCs/>
          <w:noProof/>
          <w:sz w:val="24"/>
          <w:szCs w:val="24"/>
          <w:lang w:val="en-IE"/>
        </w:rPr>
        <w:t xml:space="preserve"> when it comes to the facilitation of investigations</w:t>
      </w:r>
      <w:r w:rsidR="0020068A" w:rsidRPr="00575CC5">
        <w:rPr>
          <w:rFonts w:ascii="Times New Roman" w:hAnsi="Times New Roman" w:cs="Times New Roman"/>
          <w:iCs/>
          <w:noProof/>
          <w:sz w:val="24"/>
          <w:szCs w:val="24"/>
          <w:vertAlign w:val="superscript"/>
        </w:rPr>
        <w:footnoteReference w:id="36"/>
      </w:r>
      <w:r w:rsidR="0020068A" w:rsidRPr="00575CC5">
        <w:rPr>
          <w:rFonts w:ascii="Times New Roman" w:hAnsi="Times New Roman" w:cs="Times New Roman"/>
          <w:iCs/>
          <w:noProof/>
          <w:sz w:val="24"/>
          <w:szCs w:val="24"/>
          <w:lang w:val="en-IE"/>
        </w:rPr>
        <w:t>. Some saw little change, as their national frameworks were already largely compliant</w:t>
      </w:r>
      <w:r w:rsidR="005627EE">
        <w:rPr>
          <w:rFonts w:ascii="Times New Roman" w:hAnsi="Times New Roman" w:cs="Times New Roman"/>
          <w:iCs/>
          <w:noProof/>
          <w:sz w:val="24"/>
          <w:szCs w:val="24"/>
          <w:lang w:val="en-IE"/>
        </w:rPr>
        <w:t xml:space="preserve"> with the Directive’s obligations</w:t>
      </w:r>
      <w:r w:rsidR="0020068A" w:rsidRPr="00575CC5">
        <w:rPr>
          <w:rFonts w:ascii="Times New Roman" w:hAnsi="Times New Roman" w:cs="Times New Roman"/>
          <w:iCs/>
          <w:noProof/>
          <w:sz w:val="24"/>
          <w:szCs w:val="24"/>
          <w:lang w:val="en-IE"/>
        </w:rPr>
        <w:t>. Others highlighted clear benefits, particularly the removal of the need to prove intent behind the predicate offence, which simplified judicial proceedings.</w:t>
      </w:r>
      <w:r w:rsidR="00665A3C" w:rsidRPr="00575CC5">
        <w:rPr>
          <w:rFonts w:ascii="Times New Roman" w:hAnsi="Times New Roman" w:cs="Times New Roman"/>
          <w:b/>
          <w:iCs/>
          <w:noProof/>
          <w:sz w:val="24"/>
          <w:szCs w:val="24"/>
          <w:lang w:val="en-IE"/>
        </w:rPr>
        <w:t xml:space="preserve"> </w:t>
      </w:r>
      <w:r w:rsidR="0078240B">
        <w:rPr>
          <w:rFonts w:ascii="Times New Roman" w:hAnsi="Times New Roman" w:cs="Times New Roman"/>
          <w:b/>
          <w:iCs/>
          <w:noProof/>
          <w:sz w:val="24"/>
          <w:szCs w:val="24"/>
          <w:lang w:val="en-IE"/>
        </w:rPr>
        <w:t>La</w:t>
      </w:r>
      <w:r w:rsidR="0078240B" w:rsidRPr="00575CC5">
        <w:rPr>
          <w:rFonts w:ascii="Times New Roman" w:hAnsi="Times New Roman" w:cs="Times New Roman"/>
          <w:b/>
          <w:iCs/>
          <w:noProof/>
          <w:sz w:val="24"/>
          <w:szCs w:val="24"/>
          <w:lang w:val="en-IE"/>
        </w:rPr>
        <w:t xml:space="preserve">w </w:t>
      </w:r>
      <w:r w:rsidR="00B0326F">
        <w:rPr>
          <w:rFonts w:ascii="Times New Roman" w:hAnsi="Times New Roman" w:cs="Times New Roman"/>
          <w:b/>
          <w:iCs/>
          <w:noProof/>
          <w:sz w:val="24"/>
          <w:szCs w:val="24"/>
          <w:lang w:val="en-IE"/>
        </w:rPr>
        <w:t>e</w:t>
      </w:r>
      <w:r w:rsidR="0020068A" w:rsidRPr="00575CC5">
        <w:rPr>
          <w:rFonts w:ascii="Times New Roman" w:hAnsi="Times New Roman" w:cs="Times New Roman"/>
          <w:b/>
          <w:iCs/>
          <w:noProof/>
          <w:sz w:val="24"/>
          <w:szCs w:val="24"/>
          <w:lang w:val="en-IE"/>
        </w:rPr>
        <w:t xml:space="preserve">nforcement </w:t>
      </w:r>
      <w:r w:rsidR="00B0326F">
        <w:rPr>
          <w:rFonts w:ascii="Times New Roman" w:hAnsi="Times New Roman" w:cs="Times New Roman"/>
          <w:b/>
          <w:iCs/>
          <w:noProof/>
          <w:sz w:val="24"/>
          <w:szCs w:val="24"/>
          <w:lang w:val="en-IE"/>
        </w:rPr>
        <w:t>a</w:t>
      </w:r>
      <w:r w:rsidR="0020068A" w:rsidRPr="00575CC5">
        <w:rPr>
          <w:rFonts w:ascii="Times New Roman" w:hAnsi="Times New Roman" w:cs="Times New Roman"/>
          <w:b/>
          <w:iCs/>
          <w:noProof/>
          <w:sz w:val="24"/>
          <w:szCs w:val="24"/>
          <w:lang w:val="en-IE"/>
        </w:rPr>
        <w:t>uthorities</w:t>
      </w:r>
      <w:r w:rsidR="00A22915" w:rsidRPr="00575CC5">
        <w:rPr>
          <w:rFonts w:ascii="Times New Roman" w:hAnsi="Times New Roman" w:cs="Times New Roman"/>
          <w:bCs/>
          <w:iCs/>
          <w:noProof/>
          <w:sz w:val="24"/>
          <w:szCs w:val="24"/>
          <w:lang w:val="en-IE"/>
        </w:rPr>
        <w:t xml:space="preserve">, including members of the </w:t>
      </w:r>
      <w:r w:rsidR="00A361FE" w:rsidRPr="00A361FE">
        <w:rPr>
          <w:rFonts w:ascii="Times New Roman" w:hAnsi="Times New Roman" w:cs="Times New Roman"/>
          <w:bCs/>
          <w:iCs/>
          <w:noProof/>
          <w:sz w:val="24"/>
          <w:szCs w:val="24"/>
          <w:lang w:val="en-IE"/>
        </w:rPr>
        <w:t>European Multidisciplinary Platform Against Criminal Threats</w:t>
      </w:r>
      <w:r w:rsidR="00A361FE">
        <w:rPr>
          <w:rFonts w:ascii="Times New Roman" w:hAnsi="Times New Roman" w:cs="Times New Roman"/>
          <w:bCs/>
          <w:iCs/>
          <w:noProof/>
          <w:sz w:val="24"/>
          <w:szCs w:val="24"/>
          <w:lang w:val="en-IE"/>
        </w:rPr>
        <w:t xml:space="preserve"> (EMPACT)</w:t>
      </w:r>
      <w:r w:rsidR="00D26B6E">
        <w:rPr>
          <w:rFonts w:ascii="Times New Roman" w:hAnsi="Times New Roman" w:cs="Times New Roman"/>
          <w:bCs/>
          <w:iCs/>
          <w:noProof/>
          <w:sz w:val="24"/>
          <w:szCs w:val="24"/>
          <w:lang w:val="en-IE"/>
        </w:rPr>
        <w:t xml:space="preserve"> </w:t>
      </w:r>
      <w:r w:rsidR="00A22915" w:rsidRPr="00575CC5">
        <w:rPr>
          <w:rFonts w:ascii="Times New Roman" w:hAnsi="Times New Roman" w:cs="Times New Roman"/>
          <w:bCs/>
          <w:iCs/>
          <w:noProof/>
          <w:sz w:val="24"/>
          <w:szCs w:val="24"/>
          <w:lang w:val="en-IE"/>
        </w:rPr>
        <w:t>community,</w:t>
      </w:r>
      <w:r w:rsidR="0020068A" w:rsidRPr="00575CC5">
        <w:rPr>
          <w:rFonts w:ascii="Times New Roman" w:hAnsi="Times New Roman" w:cs="Times New Roman"/>
          <w:iCs/>
          <w:noProof/>
          <w:sz w:val="24"/>
          <w:szCs w:val="24"/>
          <w:lang w:val="en-IE"/>
        </w:rPr>
        <w:t xml:space="preserve"> </w:t>
      </w:r>
      <w:r w:rsidR="006A6BD1" w:rsidRPr="006A6BD1">
        <w:rPr>
          <w:rFonts w:ascii="Times New Roman" w:hAnsi="Times New Roman" w:cs="Times New Roman"/>
          <w:iCs/>
          <w:noProof/>
          <w:sz w:val="24"/>
          <w:szCs w:val="24"/>
          <w:lang w:val="en-IE"/>
        </w:rPr>
        <w:t>generally reported that investigative action has been significantly facilitated following legislative alignment with the Directive</w:t>
      </w:r>
      <w:r w:rsidR="0020068A" w:rsidRPr="00575CC5">
        <w:rPr>
          <w:rFonts w:ascii="Times New Roman" w:hAnsi="Times New Roman" w:cs="Times New Roman"/>
          <w:iCs/>
          <w:noProof/>
          <w:sz w:val="24"/>
          <w:szCs w:val="24"/>
          <w:vertAlign w:val="superscript"/>
        </w:rPr>
        <w:footnoteReference w:id="37"/>
      </w:r>
      <w:r w:rsidR="0020068A" w:rsidRPr="00575CC5">
        <w:rPr>
          <w:rFonts w:ascii="Times New Roman" w:hAnsi="Times New Roman" w:cs="Times New Roman"/>
          <w:iCs/>
          <w:noProof/>
          <w:sz w:val="24"/>
          <w:szCs w:val="24"/>
          <w:lang w:val="en-IE"/>
        </w:rPr>
        <w:t>. Depending on the Member State, national reforms inspired by the Directive expanded investigative tools</w:t>
      </w:r>
      <w:r w:rsidR="00532DB6">
        <w:rPr>
          <w:rFonts w:ascii="Times New Roman" w:hAnsi="Times New Roman" w:cs="Times New Roman"/>
          <w:iCs/>
          <w:noProof/>
          <w:sz w:val="24"/>
          <w:szCs w:val="24"/>
          <w:lang w:val="en-IE"/>
        </w:rPr>
        <w:t xml:space="preserve"> </w:t>
      </w:r>
      <w:r w:rsidR="00736648">
        <w:rPr>
          <w:rFonts w:ascii="Times New Roman" w:hAnsi="Times New Roman" w:cs="Times New Roman"/>
          <w:iCs/>
          <w:noProof/>
          <w:sz w:val="24"/>
          <w:szCs w:val="24"/>
          <w:lang w:val="en-IE"/>
        </w:rPr>
        <w:t xml:space="preserve">and </w:t>
      </w:r>
      <w:r w:rsidR="0020068A" w:rsidRPr="00575CC5">
        <w:rPr>
          <w:rFonts w:ascii="Times New Roman" w:hAnsi="Times New Roman" w:cs="Times New Roman"/>
          <w:iCs/>
          <w:noProof/>
          <w:sz w:val="24"/>
          <w:szCs w:val="24"/>
          <w:lang w:val="en-IE"/>
        </w:rPr>
        <w:t>introduced the criminalisation of self-laundering</w:t>
      </w:r>
      <w:r w:rsidR="005927BA">
        <w:rPr>
          <w:rFonts w:ascii="Times New Roman" w:hAnsi="Times New Roman" w:cs="Times New Roman"/>
          <w:iCs/>
          <w:noProof/>
          <w:sz w:val="24"/>
          <w:szCs w:val="24"/>
          <w:lang w:val="en-IE"/>
        </w:rPr>
        <w:t xml:space="preserve"> and of</w:t>
      </w:r>
      <w:r w:rsidR="0020068A" w:rsidRPr="00575CC5">
        <w:rPr>
          <w:rFonts w:ascii="Times New Roman" w:hAnsi="Times New Roman" w:cs="Times New Roman"/>
          <w:iCs/>
          <w:noProof/>
          <w:sz w:val="24"/>
          <w:szCs w:val="24"/>
          <w:lang w:val="en-IE"/>
        </w:rPr>
        <w:t xml:space="preserve"> negligent money laundering, the possibility to investigate laundering independently of the predicate offence, and clearer definitions of criminal proceeds.</w:t>
      </w:r>
      <w:r w:rsidR="00B376A0" w:rsidRPr="00575CC5">
        <w:rPr>
          <w:rFonts w:ascii="Times New Roman" w:hAnsi="Times New Roman" w:cs="Times New Roman"/>
          <w:b/>
          <w:iCs/>
          <w:noProof/>
          <w:sz w:val="24"/>
          <w:szCs w:val="24"/>
          <w:lang w:val="en-IE"/>
        </w:rPr>
        <w:t xml:space="preserve"> </w:t>
      </w:r>
      <w:r w:rsidR="0020068A" w:rsidRPr="00575CC5">
        <w:rPr>
          <w:rFonts w:ascii="Times New Roman" w:hAnsi="Times New Roman" w:cs="Times New Roman"/>
          <w:b/>
          <w:iCs/>
          <w:noProof/>
          <w:sz w:val="24"/>
          <w:szCs w:val="24"/>
          <w:lang w:val="en-IE"/>
        </w:rPr>
        <w:t>Financial Intelligence Units (FIUs</w:t>
      </w:r>
      <w:r w:rsidR="0020068A" w:rsidRPr="00575CC5">
        <w:rPr>
          <w:rFonts w:ascii="Times New Roman" w:hAnsi="Times New Roman" w:cs="Times New Roman"/>
          <w:iCs/>
          <w:noProof/>
          <w:sz w:val="24"/>
          <w:szCs w:val="24"/>
          <w:lang w:val="en-IE"/>
        </w:rPr>
        <w:t>) gave mixed feedback</w:t>
      </w:r>
      <w:r w:rsidR="0020068A" w:rsidRPr="00575CC5">
        <w:rPr>
          <w:rFonts w:ascii="Times New Roman" w:hAnsi="Times New Roman" w:cs="Times New Roman"/>
          <w:iCs/>
          <w:noProof/>
          <w:sz w:val="24"/>
          <w:szCs w:val="24"/>
          <w:vertAlign w:val="superscript"/>
        </w:rPr>
        <w:footnoteReference w:id="38"/>
      </w:r>
      <w:r w:rsidR="00B376A0" w:rsidRPr="00575CC5">
        <w:rPr>
          <w:rFonts w:ascii="Times New Roman" w:hAnsi="Times New Roman" w:cs="Times New Roman"/>
          <w:iCs/>
          <w:noProof/>
          <w:sz w:val="24"/>
          <w:szCs w:val="24"/>
          <w:lang w:val="en-IE"/>
        </w:rPr>
        <w:t xml:space="preserve">: </w:t>
      </w:r>
      <w:r w:rsidR="00906D2E" w:rsidRPr="00575CC5">
        <w:rPr>
          <w:rFonts w:ascii="Times New Roman" w:hAnsi="Times New Roman" w:cs="Times New Roman"/>
          <w:iCs/>
          <w:noProof/>
          <w:sz w:val="24"/>
          <w:szCs w:val="24"/>
          <w:lang w:val="en-IE"/>
        </w:rPr>
        <w:t>w</w:t>
      </w:r>
      <w:r w:rsidR="0020068A" w:rsidRPr="00575CC5">
        <w:rPr>
          <w:rFonts w:ascii="Times New Roman" w:hAnsi="Times New Roman" w:cs="Times New Roman"/>
          <w:iCs/>
          <w:noProof/>
          <w:sz w:val="24"/>
          <w:szCs w:val="24"/>
          <w:lang w:val="en-IE"/>
        </w:rPr>
        <w:t>hile some noted improved analysis and cooperation, others observed limited change in daily practice</w:t>
      </w:r>
      <w:r w:rsidR="002D0F85" w:rsidRPr="00575CC5">
        <w:rPr>
          <w:rFonts w:ascii="Times New Roman" w:hAnsi="Times New Roman" w:cs="Times New Roman"/>
          <w:iCs/>
          <w:noProof/>
          <w:sz w:val="24"/>
          <w:szCs w:val="24"/>
          <w:lang w:val="en-IE"/>
        </w:rPr>
        <w:t xml:space="preserve"> (</w:t>
      </w:r>
      <w:r w:rsidR="00B77CF5">
        <w:rPr>
          <w:rFonts w:ascii="Times New Roman" w:hAnsi="Times New Roman" w:cs="Times New Roman"/>
          <w:iCs/>
          <w:noProof/>
          <w:sz w:val="24"/>
          <w:szCs w:val="24"/>
          <w:lang w:val="en-IE"/>
        </w:rPr>
        <w:t>it should</w:t>
      </w:r>
      <w:r w:rsidR="00B77CF5" w:rsidRPr="00575CC5">
        <w:rPr>
          <w:rFonts w:ascii="Times New Roman" w:hAnsi="Times New Roman" w:cs="Times New Roman"/>
          <w:iCs/>
          <w:noProof/>
          <w:sz w:val="24"/>
          <w:szCs w:val="24"/>
          <w:lang w:val="en-IE"/>
        </w:rPr>
        <w:t xml:space="preserve"> </w:t>
      </w:r>
      <w:r w:rsidR="002D0F85" w:rsidRPr="00575CC5">
        <w:rPr>
          <w:rFonts w:ascii="Times New Roman" w:hAnsi="Times New Roman" w:cs="Times New Roman"/>
          <w:iCs/>
          <w:noProof/>
          <w:sz w:val="24"/>
          <w:szCs w:val="24"/>
          <w:lang w:val="en-IE"/>
        </w:rPr>
        <w:t xml:space="preserve">be noted that </w:t>
      </w:r>
      <w:r w:rsidR="00545242">
        <w:rPr>
          <w:rFonts w:ascii="Times New Roman" w:hAnsi="Times New Roman" w:cs="Times New Roman"/>
          <w:iCs/>
          <w:noProof/>
          <w:sz w:val="24"/>
          <w:szCs w:val="24"/>
          <w:lang w:val="en-IE"/>
        </w:rPr>
        <w:t xml:space="preserve">the </w:t>
      </w:r>
      <w:r w:rsidR="002D0F85" w:rsidRPr="00575CC5">
        <w:rPr>
          <w:rFonts w:ascii="Times New Roman" w:hAnsi="Times New Roman" w:cs="Times New Roman"/>
          <w:iCs/>
          <w:noProof/>
          <w:sz w:val="24"/>
          <w:szCs w:val="24"/>
          <w:lang w:val="en-IE"/>
        </w:rPr>
        <w:t>FIUs</w:t>
      </w:r>
      <w:r w:rsidR="00545242">
        <w:rPr>
          <w:rFonts w:ascii="Times New Roman" w:hAnsi="Times New Roman" w:cs="Times New Roman"/>
          <w:iCs/>
          <w:noProof/>
          <w:sz w:val="24"/>
          <w:szCs w:val="24"/>
          <w:lang w:val="en-IE"/>
        </w:rPr>
        <w:t>’</w:t>
      </w:r>
      <w:r w:rsidR="002D0F85" w:rsidRPr="00575CC5">
        <w:rPr>
          <w:rFonts w:ascii="Times New Roman" w:hAnsi="Times New Roman" w:cs="Times New Roman"/>
          <w:iCs/>
          <w:noProof/>
          <w:sz w:val="24"/>
          <w:szCs w:val="24"/>
          <w:lang w:val="en-IE"/>
        </w:rPr>
        <w:t xml:space="preserve"> work is governed by </w:t>
      </w:r>
      <w:r w:rsidR="00E622EE" w:rsidRPr="00E622EE">
        <w:rPr>
          <w:rFonts w:ascii="Times New Roman" w:hAnsi="Times New Roman" w:cs="Times New Roman"/>
          <w:iCs/>
          <w:noProof/>
          <w:sz w:val="24"/>
          <w:szCs w:val="24"/>
          <w:lang w:val="en-IE"/>
        </w:rPr>
        <w:t>Directive</w:t>
      </w:r>
      <w:r w:rsidR="00545242">
        <w:rPr>
          <w:rFonts w:ascii="Times New Roman" w:hAnsi="Times New Roman" w:cs="Times New Roman"/>
          <w:iCs/>
          <w:noProof/>
          <w:sz w:val="24"/>
          <w:szCs w:val="24"/>
          <w:lang w:val="en-IE"/>
        </w:rPr>
        <w:t xml:space="preserve"> (EU)</w:t>
      </w:r>
      <w:r w:rsidR="00E622EE" w:rsidRPr="00E622EE">
        <w:rPr>
          <w:rFonts w:ascii="Times New Roman" w:hAnsi="Times New Roman" w:cs="Times New Roman"/>
          <w:iCs/>
          <w:noProof/>
          <w:sz w:val="24"/>
          <w:szCs w:val="24"/>
          <w:lang w:val="en-IE"/>
        </w:rPr>
        <w:t xml:space="preserve"> 2024/1640 </w:t>
      </w:r>
      <w:r w:rsidR="00E622EE">
        <w:rPr>
          <w:rFonts w:ascii="Times New Roman" w:hAnsi="Times New Roman" w:cs="Times New Roman"/>
          <w:iCs/>
          <w:noProof/>
          <w:sz w:val="24"/>
          <w:szCs w:val="24"/>
          <w:lang w:val="en-IE"/>
        </w:rPr>
        <w:t>(</w:t>
      </w:r>
      <w:r w:rsidR="00545242">
        <w:rPr>
          <w:rFonts w:ascii="Times New Roman" w:hAnsi="Times New Roman" w:cs="Times New Roman"/>
          <w:iCs/>
          <w:noProof/>
          <w:sz w:val="24"/>
          <w:szCs w:val="24"/>
          <w:lang w:val="en-IE"/>
        </w:rPr>
        <w:t xml:space="preserve">the </w:t>
      </w:r>
      <w:r w:rsidR="00E622EE" w:rsidRPr="00E622EE">
        <w:rPr>
          <w:rFonts w:ascii="Times New Roman" w:hAnsi="Times New Roman" w:cs="Times New Roman"/>
          <w:iCs/>
          <w:noProof/>
          <w:sz w:val="24"/>
          <w:szCs w:val="24"/>
          <w:lang w:val="en-IE"/>
        </w:rPr>
        <w:t>EU Anti-Money Laundering Directive</w:t>
      </w:r>
      <w:r w:rsidR="00E622EE">
        <w:rPr>
          <w:rFonts w:ascii="Times New Roman" w:hAnsi="Times New Roman" w:cs="Times New Roman"/>
          <w:iCs/>
          <w:noProof/>
          <w:sz w:val="24"/>
          <w:szCs w:val="24"/>
          <w:lang w:val="en-IE"/>
        </w:rPr>
        <w:t xml:space="preserve"> - </w:t>
      </w:r>
      <w:r w:rsidR="004351EF" w:rsidRPr="00575CC5">
        <w:rPr>
          <w:rFonts w:ascii="Times New Roman" w:hAnsi="Times New Roman" w:cs="Times New Roman"/>
          <w:iCs/>
          <w:noProof/>
          <w:sz w:val="24"/>
          <w:szCs w:val="24"/>
          <w:lang w:val="en-IE"/>
        </w:rPr>
        <w:t>AMLD)</w:t>
      </w:r>
      <w:r w:rsidR="0032205E">
        <w:rPr>
          <w:rStyle w:val="FootnoteReference"/>
          <w:rFonts w:ascii="Times New Roman" w:hAnsi="Times New Roman" w:cs="Times New Roman"/>
          <w:iCs/>
          <w:noProof/>
          <w:szCs w:val="24"/>
          <w:lang w:val="en-IE"/>
        </w:rPr>
        <w:footnoteReference w:id="39"/>
      </w:r>
      <w:r w:rsidR="0020068A" w:rsidRPr="00575CC5">
        <w:rPr>
          <w:rFonts w:ascii="Times New Roman" w:hAnsi="Times New Roman" w:cs="Times New Roman"/>
          <w:iCs/>
          <w:noProof/>
          <w:sz w:val="24"/>
          <w:szCs w:val="24"/>
          <w:lang w:val="en-IE"/>
        </w:rPr>
        <w:t>.</w:t>
      </w:r>
    </w:p>
    <w:p w14:paraId="56E7D377" w14:textId="4723FF9F" w:rsidR="0020068A" w:rsidRPr="00575CC5" w:rsidRDefault="0020068A" w:rsidP="00161031">
      <w:pPr>
        <w:pStyle w:val="ListParagraph"/>
        <w:numPr>
          <w:ilvl w:val="0"/>
          <w:numId w:val="54"/>
        </w:numPr>
        <w:rPr>
          <w:b/>
          <w:i/>
          <w:iCs/>
          <w:noProof/>
          <w:szCs w:val="24"/>
          <w:lang w:val="en-IE"/>
        </w:rPr>
      </w:pPr>
      <w:r w:rsidRPr="00575CC5">
        <w:rPr>
          <w:b/>
          <w:i/>
          <w:noProof/>
          <w:szCs w:val="24"/>
          <w:lang w:val="en-IE"/>
        </w:rPr>
        <w:t xml:space="preserve">The impact </w:t>
      </w:r>
      <w:r w:rsidRPr="00575CC5">
        <w:rPr>
          <w:b/>
          <w:i/>
          <w:iCs/>
          <w:noProof/>
          <w:szCs w:val="24"/>
          <w:lang w:val="en-IE"/>
        </w:rPr>
        <w:t>of</w:t>
      </w:r>
      <w:r w:rsidR="00100F40">
        <w:rPr>
          <w:b/>
          <w:i/>
          <w:iCs/>
          <w:noProof/>
          <w:szCs w:val="24"/>
          <w:lang w:val="en-IE"/>
        </w:rPr>
        <w:t xml:space="preserve"> </w:t>
      </w:r>
      <w:r w:rsidRPr="00575CC5">
        <w:rPr>
          <w:b/>
          <w:i/>
          <w:iCs/>
          <w:noProof/>
          <w:szCs w:val="24"/>
          <w:lang w:val="en-IE"/>
        </w:rPr>
        <w:t>stand-alone money laundering (money laundering without prior conviction for the predicate offence) on the investigation and prosecution of money laundering</w:t>
      </w:r>
    </w:p>
    <w:p w14:paraId="5492EFD8" w14:textId="66AA9C0F" w:rsidR="0020068A" w:rsidRPr="00575CC5" w:rsidRDefault="0020068A" w:rsidP="0016103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Feedback from </w:t>
      </w:r>
      <w:r w:rsidR="00B0326F">
        <w:rPr>
          <w:rFonts w:ascii="Times New Roman" w:hAnsi="Times New Roman" w:cs="Times New Roman"/>
          <w:b/>
          <w:noProof/>
          <w:sz w:val="24"/>
          <w:szCs w:val="24"/>
          <w:lang w:val="en-IE"/>
        </w:rPr>
        <w:t>j</w:t>
      </w:r>
      <w:r w:rsidR="00B0326F" w:rsidRPr="00575CC5">
        <w:rPr>
          <w:rFonts w:ascii="Times New Roman" w:hAnsi="Times New Roman" w:cs="Times New Roman"/>
          <w:b/>
          <w:noProof/>
          <w:sz w:val="24"/>
          <w:szCs w:val="24"/>
          <w:lang w:val="en-IE"/>
        </w:rPr>
        <w:t xml:space="preserve">udicial </w:t>
      </w:r>
      <w:r w:rsidRPr="00575CC5">
        <w:rPr>
          <w:rFonts w:ascii="Times New Roman" w:hAnsi="Times New Roman" w:cs="Times New Roman"/>
          <w:b/>
          <w:noProof/>
          <w:sz w:val="24"/>
          <w:szCs w:val="24"/>
          <w:lang w:val="en-IE"/>
        </w:rPr>
        <w:t xml:space="preserve">and </w:t>
      </w:r>
      <w:r w:rsidR="00B0326F">
        <w:rPr>
          <w:rFonts w:ascii="Times New Roman" w:hAnsi="Times New Roman" w:cs="Times New Roman"/>
          <w:b/>
          <w:noProof/>
          <w:sz w:val="24"/>
          <w:szCs w:val="24"/>
          <w:lang w:val="en-IE"/>
        </w:rPr>
        <w:t>l</w:t>
      </w:r>
      <w:r w:rsidRPr="00575CC5">
        <w:rPr>
          <w:rFonts w:ascii="Times New Roman" w:hAnsi="Times New Roman" w:cs="Times New Roman"/>
          <w:b/>
          <w:noProof/>
          <w:sz w:val="24"/>
          <w:szCs w:val="24"/>
          <w:lang w:val="en-IE"/>
        </w:rPr>
        <w:t xml:space="preserve">aw </w:t>
      </w:r>
      <w:r w:rsidR="00B0326F">
        <w:rPr>
          <w:rFonts w:ascii="Times New Roman" w:hAnsi="Times New Roman" w:cs="Times New Roman"/>
          <w:b/>
          <w:noProof/>
          <w:sz w:val="24"/>
          <w:szCs w:val="24"/>
          <w:lang w:val="en-IE"/>
        </w:rPr>
        <w:t>e</w:t>
      </w:r>
      <w:r w:rsidRPr="00575CC5">
        <w:rPr>
          <w:rFonts w:ascii="Times New Roman" w:hAnsi="Times New Roman" w:cs="Times New Roman"/>
          <w:b/>
          <w:noProof/>
          <w:sz w:val="24"/>
          <w:szCs w:val="24"/>
          <w:lang w:val="en-IE"/>
        </w:rPr>
        <w:t xml:space="preserve">nforcement </w:t>
      </w:r>
      <w:r w:rsidR="00B0326F">
        <w:rPr>
          <w:rFonts w:ascii="Times New Roman" w:hAnsi="Times New Roman" w:cs="Times New Roman"/>
          <w:b/>
          <w:noProof/>
          <w:sz w:val="24"/>
          <w:szCs w:val="24"/>
          <w:lang w:val="en-IE"/>
        </w:rPr>
        <w:t>a</w:t>
      </w:r>
      <w:r w:rsidR="00B0326F" w:rsidRPr="00575CC5">
        <w:rPr>
          <w:rFonts w:ascii="Times New Roman" w:hAnsi="Times New Roman" w:cs="Times New Roman"/>
          <w:b/>
          <w:noProof/>
          <w:sz w:val="24"/>
          <w:szCs w:val="24"/>
          <w:lang w:val="en-IE"/>
        </w:rPr>
        <w:t>uthorities</w:t>
      </w:r>
      <w:r w:rsidRPr="00575CC5">
        <w:rPr>
          <w:rFonts w:ascii="Times New Roman" w:hAnsi="Times New Roman" w:cs="Times New Roman"/>
          <w:b/>
          <w:noProof/>
          <w:sz w:val="24"/>
          <w:szCs w:val="24"/>
          <w:lang w:val="en-IE"/>
        </w:rPr>
        <w:t xml:space="preserve">, </w:t>
      </w:r>
      <w:r w:rsidR="004351EF" w:rsidRPr="00575CC5">
        <w:rPr>
          <w:rFonts w:ascii="Times New Roman" w:hAnsi="Times New Roman" w:cs="Times New Roman"/>
          <w:b/>
          <w:noProof/>
          <w:sz w:val="24"/>
          <w:szCs w:val="24"/>
          <w:lang w:val="en-IE"/>
        </w:rPr>
        <w:t>including</w:t>
      </w:r>
      <w:r w:rsidRPr="00575CC5">
        <w:rPr>
          <w:rFonts w:ascii="Times New Roman" w:hAnsi="Times New Roman" w:cs="Times New Roman"/>
          <w:b/>
          <w:noProof/>
          <w:sz w:val="24"/>
          <w:szCs w:val="24"/>
          <w:lang w:val="en-IE"/>
        </w:rPr>
        <w:t xml:space="preserve"> EMPACT members</w:t>
      </w:r>
      <w:r w:rsidRPr="00575CC5">
        <w:rPr>
          <w:rFonts w:ascii="Times New Roman" w:hAnsi="Times New Roman" w:cs="Times New Roman"/>
          <w:bCs/>
          <w:noProof/>
          <w:sz w:val="24"/>
          <w:szCs w:val="24"/>
          <w:lang w:val="en-IE"/>
        </w:rPr>
        <w:t xml:space="preserve">, suggests that removing the requirement for a prior conviction, prosecution, or factual establishment of the predicate offence has generally </w:t>
      </w:r>
      <w:r w:rsidR="00123041" w:rsidRPr="00575CC5">
        <w:rPr>
          <w:rFonts w:ascii="Times New Roman" w:hAnsi="Times New Roman" w:cs="Times New Roman"/>
          <w:bCs/>
          <w:noProof/>
          <w:sz w:val="24"/>
          <w:szCs w:val="24"/>
          <w:lang w:val="en-IE"/>
        </w:rPr>
        <w:t>facilitated prosecutorial and investigative work</w:t>
      </w:r>
      <w:r w:rsidRPr="00575CC5">
        <w:rPr>
          <w:rFonts w:ascii="Times New Roman" w:hAnsi="Times New Roman" w:cs="Times New Roman"/>
          <w:bCs/>
          <w:noProof/>
          <w:sz w:val="24"/>
          <w:szCs w:val="24"/>
          <w:vertAlign w:val="superscript"/>
        </w:rPr>
        <w:footnoteReference w:id="40"/>
      </w:r>
      <w:r w:rsidRPr="00575CC5">
        <w:rPr>
          <w:rFonts w:ascii="Times New Roman" w:hAnsi="Times New Roman" w:cs="Times New Roman"/>
          <w:bCs/>
          <w:noProof/>
          <w:sz w:val="24"/>
          <w:szCs w:val="24"/>
          <w:lang w:val="en-IE"/>
        </w:rPr>
        <w:t xml:space="preserve">. </w:t>
      </w:r>
      <w:r w:rsidR="00711481">
        <w:rPr>
          <w:rFonts w:ascii="Times New Roman" w:hAnsi="Times New Roman" w:cs="Times New Roman"/>
          <w:bCs/>
          <w:noProof/>
          <w:sz w:val="24"/>
          <w:szCs w:val="24"/>
          <w:lang w:val="en-IE"/>
        </w:rPr>
        <w:t>National a</w:t>
      </w:r>
      <w:r w:rsidRPr="00575CC5">
        <w:rPr>
          <w:rFonts w:ascii="Times New Roman" w:hAnsi="Times New Roman" w:cs="Times New Roman"/>
          <w:bCs/>
          <w:noProof/>
          <w:sz w:val="24"/>
          <w:szCs w:val="24"/>
          <w:lang w:val="en-IE"/>
        </w:rPr>
        <w:t xml:space="preserve">uthorities </w:t>
      </w:r>
      <w:r w:rsidRPr="00575CC5">
        <w:rPr>
          <w:rFonts w:ascii="Times New Roman" w:hAnsi="Times New Roman" w:cs="Times New Roman"/>
          <w:noProof/>
          <w:sz w:val="24"/>
          <w:szCs w:val="24"/>
          <w:lang w:val="en-IE"/>
        </w:rPr>
        <w:t>highlighted that this enabled them to pursue money laundering independently, even where the perpetrator of the predicate offence could not be identified, prosecuted, or convicted. The change also removed certain procedural obstacles, for example in cases of tax-related laundering where prosecutions were previously blocked by the absence of a complaint from tax authorities.</w:t>
      </w:r>
    </w:p>
    <w:p w14:paraId="67DF76BE" w14:textId="57B70116" w:rsidR="0020068A" w:rsidRPr="00575CC5" w:rsidRDefault="0020068A" w:rsidP="0016103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Nevertheless, some authorities reported limited </w:t>
      </w:r>
      <w:r w:rsidR="00123041" w:rsidRPr="00575CC5">
        <w:rPr>
          <w:rFonts w:ascii="Times New Roman" w:hAnsi="Times New Roman" w:cs="Times New Roman"/>
          <w:noProof/>
          <w:sz w:val="24"/>
          <w:szCs w:val="24"/>
          <w:lang w:val="en-IE"/>
        </w:rPr>
        <w:t>impacts</w:t>
      </w:r>
      <w:r w:rsidRPr="00575CC5">
        <w:rPr>
          <w:rFonts w:ascii="Times New Roman" w:hAnsi="Times New Roman" w:cs="Times New Roman"/>
          <w:noProof/>
          <w:sz w:val="24"/>
          <w:szCs w:val="24"/>
          <w:lang w:val="en-IE"/>
        </w:rPr>
        <w:t xml:space="preserve">, often because national legislation had already provided equivalent tools. Opinions from NGOs, think tanks, and professional associations were equally diverse, ranging from significant facilitation in securing convictions to minimal impact. </w:t>
      </w:r>
    </w:p>
    <w:p w14:paraId="315DF862" w14:textId="72C5BCC7" w:rsidR="0020068A" w:rsidRPr="00575CC5" w:rsidRDefault="0020068A" w:rsidP="0016103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At the same time, </w:t>
      </w:r>
      <w:r w:rsidR="00737969" w:rsidRPr="00575CC5">
        <w:rPr>
          <w:rFonts w:ascii="Times New Roman" w:hAnsi="Times New Roman" w:cs="Times New Roman"/>
          <w:noProof/>
          <w:sz w:val="24"/>
          <w:szCs w:val="24"/>
          <w:lang w:val="en-IE"/>
        </w:rPr>
        <w:t xml:space="preserve">as explained </w:t>
      </w:r>
      <w:r w:rsidR="009F1699">
        <w:rPr>
          <w:rFonts w:ascii="Times New Roman" w:hAnsi="Times New Roman" w:cs="Times New Roman"/>
          <w:noProof/>
          <w:sz w:val="24"/>
          <w:szCs w:val="24"/>
          <w:lang w:val="en-IE"/>
        </w:rPr>
        <w:t xml:space="preserve">in </w:t>
      </w:r>
      <w:r w:rsidR="00F870B7">
        <w:rPr>
          <w:rFonts w:ascii="Times New Roman" w:hAnsi="Times New Roman" w:cs="Times New Roman"/>
          <w:noProof/>
          <w:sz w:val="24"/>
          <w:szCs w:val="24"/>
          <w:lang w:val="en-IE"/>
        </w:rPr>
        <w:t xml:space="preserve">Section </w:t>
      </w:r>
      <w:r w:rsidR="009F1699">
        <w:rPr>
          <w:rFonts w:ascii="Times New Roman" w:hAnsi="Times New Roman" w:cs="Times New Roman"/>
          <w:noProof/>
          <w:sz w:val="24"/>
          <w:szCs w:val="24"/>
          <w:lang w:val="en-IE"/>
        </w:rPr>
        <w:t>4.1.1.1.</w:t>
      </w:r>
      <w:r w:rsidR="0073796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several Member States continue to require</w:t>
      </w:r>
      <w:r w:rsidR="00D26B6E">
        <w:rPr>
          <w:rFonts w:ascii="Times New Roman" w:hAnsi="Times New Roman" w:cs="Times New Roman"/>
          <w:noProof/>
          <w:sz w:val="24"/>
          <w:szCs w:val="24"/>
          <w:lang w:val="en-IE"/>
        </w:rPr>
        <w:t xml:space="preserve"> an</w:t>
      </w:r>
      <w:r w:rsidRPr="00575CC5">
        <w:rPr>
          <w:rFonts w:ascii="Times New Roman" w:hAnsi="Times New Roman" w:cs="Times New Roman"/>
          <w:noProof/>
          <w:sz w:val="24"/>
          <w:szCs w:val="24"/>
          <w:lang w:val="en-IE"/>
        </w:rPr>
        <w:t xml:space="preserve"> identification of the predicate offence to establish the criminal origin of the property, thereby maintaining high evidentiary standards for prosecutors</w:t>
      </w:r>
      <w:r w:rsidRPr="00575CC5">
        <w:rPr>
          <w:rFonts w:ascii="Times New Roman" w:hAnsi="Times New Roman" w:cs="Times New Roman"/>
          <w:noProof/>
          <w:sz w:val="24"/>
          <w:szCs w:val="24"/>
          <w:vertAlign w:val="superscript"/>
        </w:rPr>
        <w:footnoteReference w:id="41"/>
      </w:r>
      <w:r w:rsidRPr="00575CC5">
        <w:rPr>
          <w:rFonts w:ascii="Times New Roman" w:hAnsi="Times New Roman" w:cs="Times New Roman"/>
          <w:noProof/>
          <w:sz w:val="24"/>
          <w:szCs w:val="24"/>
          <w:lang w:val="en-IE"/>
        </w:rPr>
        <w:t xml:space="preserve">. Criminal law practitioners </w:t>
      </w:r>
      <w:r w:rsidR="00E854A5">
        <w:rPr>
          <w:rFonts w:ascii="Times New Roman" w:hAnsi="Times New Roman" w:cs="Times New Roman"/>
          <w:noProof/>
          <w:sz w:val="24"/>
          <w:szCs w:val="24"/>
          <w:lang w:val="en-IE"/>
        </w:rPr>
        <w:t xml:space="preserve">and one EU body </w:t>
      </w:r>
      <w:r w:rsidRPr="00575CC5">
        <w:rPr>
          <w:rFonts w:ascii="Times New Roman" w:hAnsi="Times New Roman" w:cs="Times New Roman"/>
          <w:noProof/>
          <w:sz w:val="24"/>
          <w:szCs w:val="24"/>
          <w:lang w:val="en-IE"/>
        </w:rPr>
        <w:t>confirmed this picture, noting that courts in many jurisdictions still expect prosecutors to prove the underlying offence</w:t>
      </w:r>
      <w:r w:rsidRPr="00575CC5">
        <w:rPr>
          <w:rFonts w:ascii="Times New Roman" w:hAnsi="Times New Roman" w:cs="Times New Roman"/>
          <w:noProof/>
          <w:sz w:val="24"/>
          <w:szCs w:val="24"/>
          <w:vertAlign w:val="superscript"/>
        </w:rPr>
        <w:footnoteReference w:id="42"/>
      </w:r>
      <w:r w:rsidRPr="00575CC5">
        <w:rPr>
          <w:rFonts w:ascii="Times New Roman" w:hAnsi="Times New Roman" w:cs="Times New Roman"/>
          <w:noProof/>
          <w:sz w:val="24"/>
          <w:szCs w:val="24"/>
          <w:lang w:val="en-IE"/>
        </w:rPr>
        <w:t>.</w:t>
      </w:r>
    </w:p>
    <w:p w14:paraId="7D0EA5EF" w14:textId="26E80E2A" w:rsidR="0020068A" w:rsidRDefault="0020068A" w:rsidP="0016103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Overall, the obligation to introduce a stand-alone money laundering offence has had </w:t>
      </w:r>
      <w:r w:rsidR="00737969" w:rsidRPr="00575CC5">
        <w:rPr>
          <w:rFonts w:ascii="Times New Roman" w:hAnsi="Times New Roman" w:cs="Times New Roman"/>
          <w:noProof/>
          <w:sz w:val="24"/>
          <w:szCs w:val="24"/>
          <w:lang w:val="en-IE"/>
        </w:rPr>
        <w:t xml:space="preserve">positive, albeit mixed </w:t>
      </w:r>
      <w:r w:rsidRPr="00575CC5">
        <w:rPr>
          <w:rFonts w:ascii="Times New Roman" w:hAnsi="Times New Roman" w:cs="Times New Roman"/>
          <w:noProof/>
          <w:sz w:val="24"/>
          <w:szCs w:val="24"/>
          <w:lang w:val="en-IE"/>
        </w:rPr>
        <w:t xml:space="preserve">effects. While many authorities emphasised that it facilitated investigations and prosecutions, others stressed that its potential </w:t>
      </w:r>
      <w:r w:rsidR="00F870B7" w:rsidRPr="00575CC5">
        <w:rPr>
          <w:rFonts w:ascii="Times New Roman" w:hAnsi="Times New Roman" w:cs="Times New Roman"/>
          <w:noProof/>
          <w:sz w:val="24"/>
          <w:szCs w:val="24"/>
          <w:lang w:val="en-IE"/>
        </w:rPr>
        <w:t>remain</w:t>
      </w:r>
      <w:r w:rsidR="00F870B7">
        <w:rPr>
          <w:rFonts w:ascii="Times New Roman" w:hAnsi="Times New Roman" w:cs="Times New Roman"/>
          <w:noProof/>
          <w:sz w:val="24"/>
          <w:szCs w:val="24"/>
          <w:lang w:val="en-IE"/>
        </w:rPr>
        <w:t xml:space="preserve">ed </w:t>
      </w:r>
      <w:r w:rsidRPr="00575CC5">
        <w:rPr>
          <w:rFonts w:ascii="Times New Roman" w:hAnsi="Times New Roman" w:cs="Times New Roman"/>
          <w:noProof/>
          <w:sz w:val="24"/>
          <w:szCs w:val="24"/>
          <w:lang w:val="en-IE"/>
        </w:rPr>
        <w:t>limited by the high</w:t>
      </w:r>
      <w:r w:rsidR="00D26B6E">
        <w:rPr>
          <w:rFonts w:ascii="Times New Roman" w:hAnsi="Times New Roman" w:cs="Times New Roman"/>
          <w:noProof/>
          <w:sz w:val="24"/>
          <w:szCs w:val="24"/>
          <w:lang w:val="en-IE"/>
        </w:rPr>
        <w:t xml:space="preserve"> national</w:t>
      </w:r>
      <w:r w:rsidRPr="00575CC5">
        <w:rPr>
          <w:rFonts w:ascii="Times New Roman" w:hAnsi="Times New Roman" w:cs="Times New Roman"/>
          <w:noProof/>
          <w:sz w:val="24"/>
          <w:szCs w:val="24"/>
          <w:lang w:val="en-IE"/>
        </w:rPr>
        <w:t xml:space="preserve"> threshold required to prove the criminal origin of assets.</w:t>
      </w:r>
    </w:p>
    <w:p w14:paraId="76DB1392" w14:textId="794B8B28" w:rsidR="00052970" w:rsidRPr="00575CC5" w:rsidRDefault="00052970" w:rsidP="00052970">
      <w:pPr>
        <w:jc w:val="center"/>
        <w:rPr>
          <w:rFonts w:ascii="Times New Roman" w:hAnsi="Times New Roman" w:cs="Times New Roman"/>
          <w:noProof/>
          <w:sz w:val="24"/>
          <w:szCs w:val="24"/>
          <w:lang w:val="en-IE"/>
        </w:rPr>
      </w:pPr>
      <w:r w:rsidRPr="00575CC5">
        <w:rPr>
          <w:rFonts w:ascii="Times New Roman" w:hAnsi="Times New Roman" w:cs="Times New Roman"/>
          <w:i/>
          <w:iCs/>
          <w:noProof/>
          <w:sz w:val="24"/>
          <w:szCs w:val="24"/>
        </w:rPr>
        <w:t>Figure </w:t>
      </w:r>
      <w:r w:rsidR="00FA10DC" w:rsidRPr="00575CC5">
        <w:rPr>
          <w:rFonts w:ascii="Times New Roman" w:hAnsi="Times New Roman" w:cs="Times New Roman"/>
          <w:i/>
          <w:iCs/>
          <w:noProof/>
          <w:sz w:val="24"/>
          <w:szCs w:val="24"/>
        </w:rPr>
        <w:t>1</w:t>
      </w:r>
      <w:r w:rsidRPr="00575CC5">
        <w:rPr>
          <w:rFonts w:ascii="Times New Roman" w:hAnsi="Times New Roman" w:cs="Times New Roman"/>
          <w:i/>
          <w:iCs/>
          <w:noProof/>
          <w:sz w:val="24"/>
          <w:szCs w:val="24"/>
        </w:rPr>
        <w:t>: Level of facilitation of the investigation of money-laundering without prior conviction, prosecution or extensive factual establishment of the predicate offence</w:t>
      </w:r>
      <w:r w:rsidR="005C0869" w:rsidRPr="00575CC5">
        <w:rPr>
          <w:rStyle w:val="FootnoteReference"/>
          <w:rFonts w:ascii="Times New Roman" w:hAnsi="Times New Roman" w:cs="Times New Roman"/>
          <w:i/>
          <w:noProof/>
          <w:szCs w:val="24"/>
        </w:rPr>
        <w:footnoteReference w:id="43"/>
      </w:r>
    </w:p>
    <w:p w14:paraId="3600CCF8" w14:textId="1CAEA1CA" w:rsidR="0020068A" w:rsidRPr="00575CC5" w:rsidRDefault="0020068A" w:rsidP="0020068A">
      <w:pPr>
        <w:rPr>
          <w:rFonts w:ascii="Times New Roman" w:hAnsi="Times New Roman" w:cs="Times New Roman"/>
          <w:b/>
          <w:noProof/>
          <w:sz w:val="24"/>
          <w:szCs w:val="24"/>
          <w:lang w:val="en-IE"/>
        </w:rPr>
      </w:pPr>
      <w:r w:rsidRPr="00575CC5">
        <w:rPr>
          <w:rFonts w:ascii="Times New Roman" w:eastAsia="Calibri Light" w:hAnsi="Times New Roman" w:cs="Times New Roman"/>
          <w:noProof/>
          <w:sz w:val="24"/>
          <w:szCs w:val="24"/>
          <w:lang w:eastAsia="en-GB"/>
        </w:rPr>
        <w:drawing>
          <wp:inline distT="0" distB="0" distL="0" distR="0" wp14:anchorId="72818165" wp14:editId="7655979C">
            <wp:extent cx="5472430" cy="3192145"/>
            <wp:effectExtent l="0" t="0" r="13970" b="8255"/>
            <wp:docPr id="544289627" name="Chart 5442896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A1AD2AA" w14:textId="3935F647" w:rsidR="0020068A" w:rsidRPr="00575CC5" w:rsidRDefault="0020068A" w:rsidP="0020068A">
      <w:pPr>
        <w:jc w:val="both"/>
        <w:rPr>
          <w:rFonts w:ascii="Times New Roman" w:hAnsi="Times New Roman" w:cs="Times New Roman"/>
          <w:bCs/>
          <w:iCs/>
          <w:noProof/>
          <w:sz w:val="24"/>
          <w:szCs w:val="24"/>
          <w:lang w:val="en-IE"/>
        </w:rPr>
      </w:pPr>
      <w:r w:rsidRPr="00575CC5">
        <w:rPr>
          <w:rFonts w:ascii="Times New Roman" w:hAnsi="Times New Roman" w:cs="Times New Roman"/>
          <w:bCs/>
          <w:iCs/>
          <w:noProof/>
          <w:sz w:val="24"/>
          <w:szCs w:val="24"/>
          <w:lang w:val="en-IE"/>
        </w:rPr>
        <w:t xml:space="preserve"> </w:t>
      </w:r>
    </w:p>
    <w:p w14:paraId="62108A43" w14:textId="229F299B" w:rsidR="0020068A" w:rsidRPr="00575CC5" w:rsidRDefault="0020068A" w:rsidP="00161031">
      <w:pPr>
        <w:pStyle w:val="ListParagraph"/>
        <w:numPr>
          <w:ilvl w:val="0"/>
          <w:numId w:val="55"/>
        </w:numPr>
        <w:rPr>
          <w:b/>
          <w:i/>
          <w:noProof/>
          <w:szCs w:val="24"/>
          <w:lang w:val="en-IE"/>
        </w:rPr>
      </w:pPr>
      <w:r w:rsidRPr="00575CC5">
        <w:rPr>
          <w:b/>
          <w:i/>
          <w:noProof/>
          <w:szCs w:val="24"/>
          <w:lang w:val="en-IE"/>
        </w:rPr>
        <w:t>Use of investigative tools</w:t>
      </w:r>
    </w:p>
    <w:p w14:paraId="2F95299F" w14:textId="1465F54C" w:rsidR="0020068A" w:rsidRPr="00575CC5" w:rsidRDefault="00BE29B5" w:rsidP="0020068A">
      <w:pPr>
        <w:jc w:val="both"/>
        <w:rPr>
          <w:rFonts w:ascii="Times New Roman" w:hAnsi="Times New Roman" w:cs="Times New Roman"/>
          <w:bCs/>
          <w:iCs/>
          <w:noProof/>
          <w:sz w:val="24"/>
          <w:szCs w:val="24"/>
          <w:lang w:val="en-IE"/>
        </w:rPr>
      </w:pPr>
      <w:r w:rsidRPr="00575CC5">
        <w:rPr>
          <w:rFonts w:ascii="Times New Roman" w:hAnsi="Times New Roman" w:cs="Times New Roman"/>
          <w:bCs/>
          <w:iCs/>
          <w:noProof/>
          <w:sz w:val="24"/>
          <w:szCs w:val="24"/>
          <w:lang w:val="en-IE"/>
        </w:rPr>
        <w:t xml:space="preserve">The Directive </w:t>
      </w:r>
      <w:r w:rsidR="003B41E2" w:rsidRPr="00575CC5">
        <w:rPr>
          <w:rFonts w:ascii="Times New Roman" w:hAnsi="Times New Roman" w:cs="Times New Roman"/>
          <w:bCs/>
          <w:iCs/>
          <w:noProof/>
          <w:sz w:val="24"/>
          <w:szCs w:val="24"/>
          <w:lang w:val="en-IE"/>
        </w:rPr>
        <w:t xml:space="preserve">requires Member States </w:t>
      </w:r>
      <w:r w:rsidR="000743F5">
        <w:rPr>
          <w:rFonts w:ascii="Times New Roman" w:hAnsi="Times New Roman" w:cs="Times New Roman"/>
          <w:bCs/>
          <w:iCs/>
          <w:noProof/>
          <w:sz w:val="24"/>
          <w:szCs w:val="24"/>
          <w:lang w:val="en-IE"/>
        </w:rPr>
        <w:t xml:space="preserve">to ensure </w:t>
      </w:r>
      <w:r w:rsidR="003B41E2" w:rsidRPr="00575CC5">
        <w:rPr>
          <w:rFonts w:ascii="Times New Roman" w:hAnsi="Times New Roman" w:cs="Times New Roman"/>
          <w:bCs/>
          <w:iCs/>
          <w:noProof/>
          <w:sz w:val="24"/>
          <w:szCs w:val="24"/>
          <w:lang w:val="en-IE"/>
        </w:rPr>
        <w:t xml:space="preserve">that </w:t>
      </w:r>
      <w:r w:rsidR="003B41E2" w:rsidRPr="00575CC5">
        <w:rPr>
          <w:rFonts w:ascii="Times New Roman" w:hAnsi="Times New Roman" w:cs="Times New Roman"/>
          <w:bCs/>
          <w:iCs/>
          <w:noProof/>
          <w:sz w:val="24"/>
          <w:szCs w:val="24"/>
        </w:rPr>
        <w:t xml:space="preserve">effective investigative tools used for </w:t>
      </w:r>
      <w:r w:rsidR="000743F5">
        <w:rPr>
          <w:rFonts w:ascii="Times New Roman" w:hAnsi="Times New Roman" w:cs="Times New Roman"/>
          <w:bCs/>
          <w:iCs/>
          <w:noProof/>
          <w:sz w:val="24"/>
          <w:szCs w:val="24"/>
        </w:rPr>
        <w:t>cases involving</w:t>
      </w:r>
      <w:r w:rsidR="009B29BF">
        <w:rPr>
          <w:rFonts w:ascii="Times New Roman" w:hAnsi="Times New Roman" w:cs="Times New Roman"/>
          <w:bCs/>
          <w:iCs/>
          <w:noProof/>
          <w:sz w:val="24"/>
          <w:szCs w:val="24"/>
        </w:rPr>
        <w:t>, for example,</w:t>
      </w:r>
      <w:r w:rsidR="003B41E2" w:rsidRPr="00575CC5">
        <w:rPr>
          <w:rFonts w:ascii="Times New Roman" w:hAnsi="Times New Roman" w:cs="Times New Roman"/>
          <w:bCs/>
          <w:iCs/>
          <w:noProof/>
          <w:sz w:val="24"/>
          <w:szCs w:val="24"/>
        </w:rPr>
        <w:t xml:space="preserve"> organised crime, are also available for investigating or prosecuting money laundering. </w:t>
      </w:r>
      <w:r w:rsidR="00875BCD">
        <w:rPr>
          <w:rFonts w:ascii="Times New Roman" w:hAnsi="Times New Roman" w:cs="Times New Roman"/>
          <w:bCs/>
          <w:iCs/>
          <w:noProof/>
          <w:sz w:val="24"/>
          <w:szCs w:val="24"/>
          <w:lang w:val="en-IE"/>
        </w:rPr>
        <w:t>L</w:t>
      </w:r>
      <w:r w:rsidR="0020068A" w:rsidRPr="00575CC5">
        <w:rPr>
          <w:rFonts w:ascii="Times New Roman" w:hAnsi="Times New Roman" w:cs="Times New Roman"/>
          <w:bCs/>
          <w:iCs/>
          <w:noProof/>
          <w:sz w:val="24"/>
          <w:szCs w:val="24"/>
          <w:lang w:val="en-IE"/>
        </w:rPr>
        <w:t xml:space="preserve">aw </w:t>
      </w:r>
      <w:r w:rsidR="00B0326F">
        <w:rPr>
          <w:rFonts w:ascii="Times New Roman" w:hAnsi="Times New Roman" w:cs="Times New Roman"/>
          <w:bCs/>
          <w:iCs/>
          <w:noProof/>
          <w:sz w:val="24"/>
          <w:szCs w:val="24"/>
          <w:lang w:val="en-IE"/>
        </w:rPr>
        <w:t>e</w:t>
      </w:r>
      <w:r w:rsidR="0020068A" w:rsidRPr="00575CC5">
        <w:rPr>
          <w:rFonts w:ascii="Times New Roman" w:hAnsi="Times New Roman" w:cs="Times New Roman"/>
          <w:bCs/>
          <w:iCs/>
          <w:noProof/>
          <w:sz w:val="24"/>
          <w:szCs w:val="24"/>
          <w:lang w:val="en-IE"/>
        </w:rPr>
        <w:t xml:space="preserve">nforcement </w:t>
      </w:r>
      <w:r w:rsidR="00B0326F">
        <w:rPr>
          <w:rFonts w:ascii="Times New Roman" w:hAnsi="Times New Roman" w:cs="Times New Roman"/>
          <w:bCs/>
          <w:iCs/>
          <w:noProof/>
          <w:sz w:val="24"/>
          <w:szCs w:val="24"/>
          <w:lang w:val="en-IE"/>
        </w:rPr>
        <w:t>a</w:t>
      </w:r>
      <w:r w:rsidR="0020068A" w:rsidRPr="00575CC5">
        <w:rPr>
          <w:rFonts w:ascii="Times New Roman" w:hAnsi="Times New Roman" w:cs="Times New Roman"/>
          <w:bCs/>
          <w:iCs/>
          <w:noProof/>
          <w:sz w:val="24"/>
          <w:szCs w:val="24"/>
          <w:lang w:val="en-IE"/>
        </w:rPr>
        <w:t xml:space="preserve">uthorities </w:t>
      </w:r>
      <w:r w:rsidR="0099361C" w:rsidRPr="00575CC5">
        <w:rPr>
          <w:rFonts w:ascii="Times New Roman" w:hAnsi="Times New Roman" w:cs="Times New Roman"/>
          <w:bCs/>
          <w:iCs/>
          <w:noProof/>
          <w:sz w:val="24"/>
          <w:szCs w:val="24"/>
          <w:lang w:val="en-IE"/>
        </w:rPr>
        <w:t>i</w:t>
      </w:r>
      <w:r w:rsidR="0020068A" w:rsidRPr="00575CC5">
        <w:rPr>
          <w:rFonts w:ascii="Times New Roman" w:hAnsi="Times New Roman" w:cs="Times New Roman"/>
          <w:bCs/>
          <w:iCs/>
          <w:noProof/>
          <w:sz w:val="24"/>
          <w:szCs w:val="24"/>
          <w:lang w:val="en-IE"/>
        </w:rPr>
        <w:t>n many jurisdictions</w:t>
      </w:r>
      <w:r w:rsidR="0099361C" w:rsidRPr="00575CC5">
        <w:rPr>
          <w:rFonts w:ascii="Times New Roman" w:hAnsi="Times New Roman" w:cs="Times New Roman"/>
          <w:bCs/>
          <w:iCs/>
          <w:noProof/>
          <w:sz w:val="24"/>
          <w:szCs w:val="24"/>
          <w:lang w:val="en-IE"/>
        </w:rPr>
        <w:t xml:space="preserve"> reported that t</w:t>
      </w:r>
      <w:r w:rsidR="0020068A" w:rsidRPr="00575CC5">
        <w:rPr>
          <w:rFonts w:ascii="Times New Roman" w:hAnsi="Times New Roman" w:cs="Times New Roman"/>
          <w:bCs/>
          <w:iCs/>
          <w:noProof/>
          <w:sz w:val="24"/>
          <w:szCs w:val="24"/>
          <w:lang w:val="en-IE"/>
        </w:rPr>
        <w:t>he Directive strengthened investigations by raising maximum penalties, thereby enabling access to specialised tools such as communication interception and enhancing cross-border cooperation. Others reported limited impact, as these tools had already been available under national law.</w:t>
      </w:r>
    </w:p>
    <w:p w14:paraId="086A8737" w14:textId="73C039F8" w:rsidR="0020068A" w:rsidRPr="00575CC5" w:rsidRDefault="0020068A" w:rsidP="0020068A">
      <w:pPr>
        <w:jc w:val="both"/>
        <w:rPr>
          <w:rFonts w:ascii="Times New Roman" w:hAnsi="Times New Roman" w:cs="Times New Roman"/>
          <w:bCs/>
          <w:iCs/>
          <w:noProof/>
          <w:sz w:val="24"/>
          <w:szCs w:val="24"/>
          <w:lang w:val="en-IE"/>
        </w:rPr>
      </w:pPr>
      <w:r w:rsidRPr="00575CC5">
        <w:rPr>
          <w:rFonts w:ascii="Times New Roman" w:hAnsi="Times New Roman" w:cs="Times New Roman"/>
          <w:bCs/>
          <w:iCs/>
          <w:noProof/>
          <w:sz w:val="24"/>
          <w:szCs w:val="24"/>
          <w:lang w:val="en-IE"/>
        </w:rPr>
        <w:t>Stakeholders such as academics and professional associations expressed concerns about applying investigative powers designed for organised crime to all money laundering cases</w:t>
      </w:r>
      <w:r w:rsidRPr="00575CC5">
        <w:rPr>
          <w:rFonts w:ascii="Times New Roman" w:hAnsi="Times New Roman" w:cs="Times New Roman"/>
          <w:bCs/>
          <w:iCs/>
          <w:noProof/>
          <w:sz w:val="24"/>
          <w:szCs w:val="24"/>
          <w:vertAlign w:val="superscript"/>
          <w:lang w:val="en-IE"/>
        </w:rPr>
        <w:footnoteReference w:id="44"/>
      </w:r>
      <w:r w:rsidR="007C5FDB" w:rsidRPr="00575CC5">
        <w:rPr>
          <w:rFonts w:ascii="Times New Roman" w:hAnsi="Times New Roman" w:cs="Times New Roman"/>
          <w:bCs/>
          <w:iCs/>
          <w:noProof/>
          <w:sz w:val="24"/>
          <w:szCs w:val="24"/>
          <w:lang w:val="en-IE"/>
        </w:rPr>
        <w:t>,  w</w:t>
      </w:r>
      <w:r w:rsidRPr="00575CC5">
        <w:rPr>
          <w:rFonts w:ascii="Times New Roman" w:hAnsi="Times New Roman" w:cs="Times New Roman"/>
          <w:bCs/>
          <w:iCs/>
          <w:noProof/>
          <w:sz w:val="24"/>
          <w:szCs w:val="24"/>
          <w:lang w:val="en-IE"/>
        </w:rPr>
        <w:t>arn</w:t>
      </w:r>
      <w:r w:rsidR="007C5FDB" w:rsidRPr="00575CC5">
        <w:rPr>
          <w:rFonts w:ascii="Times New Roman" w:hAnsi="Times New Roman" w:cs="Times New Roman"/>
          <w:bCs/>
          <w:iCs/>
          <w:noProof/>
          <w:sz w:val="24"/>
          <w:szCs w:val="24"/>
          <w:lang w:val="en-IE"/>
        </w:rPr>
        <w:t xml:space="preserve">ing </w:t>
      </w:r>
      <w:r w:rsidRPr="00575CC5">
        <w:rPr>
          <w:rFonts w:ascii="Times New Roman" w:hAnsi="Times New Roman" w:cs="Times New Roman"/>
          <w:bCs/>
          <w:iCs/>
          <w:noProof/>
          <w:sz w:val="24"/>
          <w:szCs w:val="24"/>
          <w:lang w:val="en-IE"/>
        </w:rPr>
        <w:t>that this could raise proportionality issues and risk diverting resources from the fight against organised crime.</w:t>
      </w:r>
    </w:p>
    <w:p w14:paraId="08D47A69" w14:textId="472E00E2" w:rsidR="0020068A" w:rsidRPr="00575CC5" w:rsidRDefault="0020068A" w:rsidP="00161031">
      <w:pPr>
        <w:pStyle w:val="ListParagraph"/>
        <w:numPr>
          <w:ilvl w:val="0"/>
          <w:numId w:val="55"/>
        </w:numPr>
        <w:rPr>
          <w:b/>
          <w:i/>
          <w:iCs/>
          <w:noProof/>
          <w:szCs w:val="24"/>
          <w:lang w:val="en-IE"/>
        </w:rPr>
      </w:pPr>
      <w:r w:rsidRPr="00575CC5">
        <w:rPr>
          <w:b/>
          <w:i/>
          <w:iCs/>
          <w:noProof/>
          <w:szCs w:val="24"/>
          <w:lang w:val="en-IE"/>
        </w:rPr>
        <w:t>Effects of optional provisions on</w:t>
      </w:r>
      <w:r w:rsidR="00BC1636">
        <w:rPr>
          <w:b/>
          <w:i/>
          <w:iCs/>
          <w:noProof/>
          <w:szCs w:val="24"/>
          <w:lang w:val="en-IE"/>
        </w:rPr>
        <w:t xml:space="preserve"> the</w:t>
      </w:r>
      <w:r w:rsidRPr="00575CC5">
        <w:rPr>
          <w:b/>
          <w:i/>
          <w:iCs/>
          <w:noProof/>
          <w:szCs w:val="24"/>
          <w:lang w:val="en-IE"/>
        </w:rPr>
        <w:t xml:space="preserve"> effectiveness of the Directive</w:t>
      </w:r>
    </w:p>
    <w:p w14:paraId="5A68C9DC" w14:textId="3836528C" w:rsidR="0020068A" w:rsidRPr="00575CC5" w:rsidRDefault="009B422A" w:rsidP="0020068A">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evaluation also looked into </w:t>
      </w:r>
      <w:r w:rsidR="0017047B">
        <w:rPr>
          <w:rFonts w:ascii="Times New Roman" w:hAnsi="Times New Roman" w:cs="Times New Roman"/>
          <w:noProof/>
          <w:sz w:val="24"/>
          <w:szCs w:val="24"/>
          <w:lang w:val="en-IE"/>
        </w:rPr>
        <w:t xml:space="preserve">whether </w:t>
      </w:r>
      <w:r>
        <w:rPr>
          <w:rFonts w:ascii="Times New Roman" w:hAnsi="Times New Roman" w:cs="Times New Roman"/>
          <w:noProof/>
          <w:sz w:val="24"/>
          <w:szCs w:val="24"/>
          <w:lang w:val="en-IE"/>
        </w:rPr>
        <w:t>the implementation of optional provisions had positive effects on</w:t>
      </w:r>
      <w:r w:rsidR="0017047B">
        <w:rPr>
          <w:rFonts w:ascii="Times New Roman" w:hAnsi="Times New Roman" w:cs="Times New Roman"/>
          <w:noProof/>
          <w:sz w:val="24"/>
          <w:szCs w:val="24"/>
          <w:lang w:val="en-IE"/>
        </w:rPr>
        <w:t xml:space="preserve"> cross-border cooperation and</w:t>
      </w:r>
      <w:r>
        <w:rPr>
          <w:rFonts w:ascii="Times New Roman" w:hAnsi="Times New Roman" w:cs="Times New Roman"/>
          <w:noProof/>
          <w:sz w:val="24"/>
          <w:szCs w:val="24"/>
          <w:lang w:val="en-IE"/>
        </w:rPr>
        <w:t xml:space="preserve"> </w:t>
      </w:r>
      <w:r w:rsidR="00330677">
        <w:rPr>
          <w:rFonts w:ascii="Times New Roman" w:hAnsi="Times New Roman" w:cs="Times New Roman"/>
          <w:noProof/>
          <w:sz w:val="24"/>
          <w:szCs w:val="24"/>
          <w:lang w:val="en-IE"/>
        </w:rPr>
        <w:t xml:space="preserve">the fight against money laundering. </w:t>
      </w:r>
      <w:r w:rsidR="0020068A" w:rsidRPr="00575CC5">
        <w:rPr>
          <w:rFonts w:ascii="Times New Roman" w:hAnsi="Times New Roman" w:cs="Times New Roman"/>
          <w:noProof/>
          <w:sz w:val="24"/>
          <w:szCs w:val="24"/>
          <w:lang w:val="en-IE"/>
        </w:rPr>
        <w:t>Some of the optional provisions in the Directive</w:t>
      </w:r>
      <w:r w:rsidR="007B254F">
        <w:rPr>
          <w:rFonts w:ascii="Times New Roman" w:hAnsi="Times New Roman" w:cs="Times New Roman"/>
          <w:noProof/>
          <w:sz w:val="24"/>
          <w:szCs w:val="24"/>
          <w:lang w:val="en-IE"/>
        </w:rPr>
        <w:t>,</w:t>
      </w:r>
      <w:r w:rsidR="0020068A" w:rsidRPr="00575CC5">
        <w:rPr>
          <w:rFonts w:ascii="Times New Roman" w:hAnsi="Times New Roman" w:cs="Times New Roman"/>
          <w:noProof/>
          <w:sz w:val="24"/>
          <w:szCs w:val="24"/>
          <w:lang w:val="en-IE"/>
        </w:rPr>
        <w:t xml:space="preserve"> such as </w:t>
      </w:r>
      <w:r w:rsidR="007B254F">
        <w:rPr>
          <w:rFonts w:ascii="Times New Roman" w:hAnsi="Times New Roman" w:cs="Times New Roman"/>
          <w:noProof/>
          <w:sz w:val="24"/>
          <w:szCs w:val="24"/>
          <w:lang w:val="en-IE"/>
        </w:rPr>
        <w:t xml:space="preserve">on </w:t>
      </w:r>
      <w:r w:rsidR="0020068A" w:rsidRPr="00575CC5">
        <w:rPr>
          <w:rFonts w:ascii="Times New Roman" w:hAnsi="Times New Roman" w:cs="Times New Roman"/>
          <w:noProof/>
          <w:sz w:val="24"/>
          <w:szCs w:val="24"/>
          <w:lang w:val="en-IE"/>
        </w:rPr>
        <w:t>negligent money laundering</w:t>
      </w:r>
      <w:r w:rsidR="007B254F">
        <w:rPr>
          <w:rFonts w:ascii="Times New Roman" w:hAnsi="Times New Roman" w:cs="Times New Roman"/>
          <w:noProof/>
          <w:sz w:val="24"/>
          <w:szCs w:val="24"/>
          <w:lang w:val="en-IE"/>
        </w:rPr>
        <w:t xml:space="preserve">, </w:t>
      </w:r>
      <w:r w:rsidR="00AA042B">
        <w:rPr>
          <w:rFonts w:ascii="Times New Roman" w:hAnsi="Times New Roman" w:cs="Times New Roman"/>
          <w:noProof/>
          <w:sz w:val="24"/>
          <w:szCs w:val="24"/>
          <w:lang w:val="en-IE"/>
        </w:rPr>
        <w:t>u</w:t>
      </w:r>
      <w:r w:rsidR="007B254F">
        <w:rPr>
          <w:rFonts w:ascii="Times New Roman" w:hAnsi="Times New Roman" w:cs="Times New Roman"/>
          <w:noProof/>
          <w:sz w:val="24"/>
          <w:szCs w:val="24"/>
          <w:lang w:val="en-IE"/>
        </w:rPr>
        <w:t>nder Article</w:t>
      </w:r>
      <w:r w:rsidR="0020068A" w:rsidRPr="00575CC5">
        <w:rPr>
          <w:rFonts w:ascii="Times New Roman" w:hAnsi="Times New Roman" w:cs="Times New Roman"/>
          <w:noProof/>
          <w:sz w:val="24"/>
          <w:szCs w:val="24"/>
          <w:lang w:val="en-IE"/>
        </w:rPr>
        <w:t xml:space="preserve"> 3(2)</w:t>
      </w:r>
      <w:r w:rsidR="007B254F">
        <w:rPr>
          <w:rFonts w:ascii="Times New Roman" w:hAnsi="Times New Roman" w:cs="Times New Roman"/>
          <w:noProof/>
          <w:sz w:val="24"/>
          <w:szCs w:val="24"/>
          <w:lang w:val="en-IE"/>
        </w:rPr>
        <w:t>,</w:t>
      </w:r>
      <w:r w:rsidR="0020068A" w:rsidRPr="00575CC5">
        <w:rPr>
          <w:rFonts w:ascii="Times New Roman" w:hAnsi="Times New Roman" w:cs="Times New Roman"/>
          <w:noProof/>
          <w:sz w:val="24"/>
          <w:szCs w:val="24"/>
          <w:lang w:val="en-IE"/>
        </w:rPr>
        <w:t xml:space="preserve"> or the possibilities for further aggravating circumstances</w:t>
      </w:r>
      <w:r w:rsidR="007B254F">
        <w:rPr>
          <w:rFonts w:ascii="Times New Roman" w:hAnsi="Times New Roman" w:cs="Times New Roman"/>
          <w:noProof/>
          <w:sz w:val="24"/>
          <w:szCs w:val="24"/>
          <w:lang w:val="en-IE"/>
        </w:rPr>
        <w:t xml:space="preserve"> e.g. </w:t>
      </w:r>
      <w:r w:rsidR="0020068A" w:rsidRPr="00575CC5">
        <w:rPr>
          <w:rFonts w:ascii="Times New Roman" w:hAnsi="Times New Roman" w:cs="Times New Roman"/>
          <w:noProof/>
          <w:sz w:val="24"/>
          <w:szCs w:val="24"/>
          <w:lang w:val="en-IE"/>
        </w:rPr>
        <w:t>enabl</w:t>
      </w:r>
      <w:r w:rsidR="007B254F">
        <w:rPr>
          <w:rFonts w:ascii="Times New Roman" w:hAnsi="Times New Roman" w:cs="Times New Roman"/>
          <w:noProof/>
          <w:sz w:val="24"/>
          <w:szCs w:val="24"/>
          <w:lang w:val="en-IE"/>
        </w:rPr>
        <w:t>ing</w:t>
      </w:r>
      <w:r w:rsidR="0020068A" w:rsidRPr="00575CC5">
        <w:rPr>
          <w:rFonts w:ascii="Times New Roman" w:hAnsi="Times New Roman" w:cs="Times New Roman"/>
          <w:noProof/>
          <w:sz w:val="24"/>
          <w:szCs w:val="24"/>
          <w:lang w:val="en-IE"/>
        </w:rPr>
        <w:t xml:space="preserve"> a </w:t>
      </w:r>
      <w:r w:rsidR="00D26B6E">
        <w:rPr>
          <w:rFonts w:ascii="Times New Roman" w:hAnsi="Times New Roman" w:cs="Times New Roman"/>
          <w:noProof/>
          <w:sz w:val="24"/>
          <w:szCs w:val="24"/>
          <w:lang w:val="en-IE"/>
        </w:rPr>
        <w:t>higher penalty</w:t>
      </w:r>
      <w:r w:rsidR="0020068A" w:rsidRPr="00575CC5">
        <w:rPr>
          <w:rFonts w:ascii="Times New Roman" w:hAnsi="Times New Roman" w:cs="Times New Roman"/>
          <w:noProof/>
          <w:sz w:val="24"/>
          <w:szCs w:val="24"/>
          <w:lang w:val="en-IE"/>
        </w:rPr>
        <w:t xml:space="preserve"> </w:t>
      </w:r>
      <w:r w:rsidR="007B254F">
        <w:rPr>
          <w:rFonts w:ascii="Times New Roman" w:hAnsi="Times New Roman" w:cs="Times New Roman"/>
          <w:noProof/>
          <w:sz w:val="24"/>
          <w:szCs w:val="24"/>
          <w:lang w:val="en-IE"/>
        </w:rPr>
        <w:t>if</w:t>
      </w:r>
      <w:r w:rsidR="0020068A" w:rsidRPr="00575CC5">
        <w:rPr>
          <w:rFonts w:ascii="Times New Roman" w:hAnsi="Times New Roman" w:cs="Times New Roman"/>
          <w:noProof/>
          <w:sz w:val="24"/>
          <w:szCs w:val="24"/>
          <w:lang w:val="en-IE"/>
        </w:rPr>
        <w:t xml:space="preserve"> the money laundering relates to property of significant value or to property generated through a specifically serious offence (Art</w:t>
      </w:r>
      <w:r w:rsidR="008C34BA">
        <w:rPr>
          <w:rFonts w:ascii="Times New Roman" w:hAnsi="Times New Roman" w:cs="Times New Roman"/>
          <w:noProof/>
          <w:sz w:val="24"/>
          <w:szCs w:val="24"/>
          <w:lang w:val="en-IE"/>
        </w:rPr>
        <w:t>i</w:t>
      </w:r>
      <w:r w:rsidR="007B254F">
        <w:rPr>
          <w:rFonts w:ascii="Times New Roman" w:hAnsi="Times New Roman" w:cs="Times New Roman"/>
          <w:noProof/>
          <w:sz w:val="24"/>
          <w:szCs w:val="24"/>
          <w:lang w:val="en-IE"/>
        </w:rPr>
        <w:t xml:space="preserve">cle </w:t>
      </w:r>
      <w:r w:rsidR="0020068A" w:rsidRPr="00575CC5">
        <w:rPr>
          <w:rFonts w:ascii="Times New Roman" w:hAnsi="Times New Roman" w:cs="Times New Roman"/>
          <w:noProof/>
          <w:sz w:val="24"/>
          <w:szCs w:val="24"/>
          <w:lang w:val="en-IE"/>
        </w:rPr>
        <w:t>6(2)(a) and (b))</w:t>
      </w:r>
      <w:r w:rsidR="00E969CB">
        <w:rPr>
          <w:rFonts w:ascii="Times New Roman" w:hAnsi="Times New Roman" w:cs="Times New Roman"/>
          <w:noProof/>
          <w:sz w:val="24"/>
          <w:szCs w:val="24"/>
          <w:lang w:val="en-IE"/>
        </w:rPr>
        <w:t>,</w:t>
      </w:r>
      <w:r w:rsidR="00330677">
        <w:rPr>
          <w:rFonts w:ascii="Times New Roman" w:hAnsi="Times New Roman" w:cs="Times New Roman"/>
          <w:noProof/>
          <w:sz w:val="24"/>
          <w:szCs w:val="24"/>
          <w:lang w:val="en-IE"/>
        </w:rPr>
        <w:t xml:space="preserve"> </w:t>
      </w:r>
      <w:r w:rsidR="008C34BA">
        <w:rPr>
          <w:rFonts w:ascii="Times New Roman" w:hAnsi="Times New Roman" w:cs="Times New Roman"/>
          <w:noProof/>
          <w:sz w:val="24"/>
          <w:szCs w:val="24"/>
          <w:lang w:val="en-IE"/>
        </w:rPr>
        <w:t xml:space="preserve">had </w:t>
      </w:r>
      <w:r w:rsidR="00330677">
        <w:rPr>
          <w:rFonts w:ascii="Times New Roman" w:hAnsi="Times New Roman" w:cs="Times New Roman"/>
          <w:noProof/>
          <w:sz w:val="24"/>
          <w:szCs w:val="24"/>
          <w:lang w:val="en-IE"/>
        </w:rPr>
        <w:t>some positive</w:t>
      </w:r>
      <w:r w:rsidR="008C34BA">
        <w:rPr>
          <w:rFonts w:ascii="Times New Roman" w:hAnsi="Times New Roman" w:cs="Times New Roman"/>
          <w:noProof/>
          <w:sz w:val="24"/>
          <w:szCs w:val="24"/>
          <w:lang w:val="en-IE"/>
        </w:rPr>
        <w:t xml:space="preserve"> effe</w:t>
      </w:r>
      <w:r w:rsidR="00330677">
        <w:rPr>
          <w:rFonts w:ascii="Times New Roman" w:hAnsi="Times New Roman" w:cs="Times New Roman"/>
          <w:noProof/>
          <w:sz w:val="24"/>
          <w:szCs w:val="24"/>
          <w:lang w:val="en-IE"/>
        </w:rPr>
        <w:t>cts on</w:t>
      </w:r>
      <w:r w:rsidR="008C34BA">
        <w:rPr>
          <w:rFonts w:ascii="Times New Roman" w:hAnsi="Times New Roman" w:cs="Times New Roman"/>
          <w:noProof/>
          <w:sz w:val="24"/>
          <w:szCs w:val="24"/>
          <w:lang w:val="en-IE"/>
        </w:rPr>
        <w:t xml:space="preserve"> the</w:t>
      </w:r>
      <w:r w:rsidR="00330677">
        <w:rPr>
          <w:rFonts w:ascii="Times New Roman" w:hAnsi="Times New Roman" w:cs="Times New Roman"/>
          <w:noProof/>
          <w:sz w:val="24"/>
          <w:szCs w:val="24"/>
          <w:lang w:val="en-IE"/>
        </w:rPr>
        <w:t xml:space="preserve"> investigations</w:t>
      </w:r>
      <w:r w:rsidR="0020068A" w:rsidRPr="00575CC5">
        <w:rPr>
          <w:rFonts w:ascii="Times New Roman" w:hAnsi="Times New Roman" w:cs="Times New Roman"/>
          <w:noProof/>
          <w:sz w:val="24"/>
          <w:szCs w:val="24"/>
          <w:lang w:val="en-IE"/>
        </w:rPr>
        <w:t>.</w:t>
      </w:r>
    </w:p>
    <w:p w14:paraId="0114F436" w14:textId="68701B4F" w:rsidR="0020068A" w:rsidRPr="00575CC5" w:rsidRDefault="00330677" w:rsidP="0020068A">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w:t>
      </w:r>
      <w:r w:rsidR="0020068A" w:rsidRPr="00575CC5">
        <w:rPr>
          <w:rFonts w:ascii="Times New Roman" w:hAnsi="Times New Roman" w:cs="Times New Roman"/>
          <w:noProof/>
          <w:sz w:val="24"/>
          <w:szCs w:val="24"/>
          <w:lang w:val="en-IE"/>
        </w:rPr>
        <w:t xml:space="preserve"> provisions </w:t>
      </w:r>
      <w:r w:rsidR="00F141FF">
        <w:rPr>
          <w:rFonts w:ascii="Times New Roman" w:hAnsi="Times New Roman" w:cs="Times New Roman"/>
          <w:noProof/>
          <w:sz w:val="24"/>
          <w:szCs w:val="24"/>
          <w:lang w:val="en-IE"/>
        </w:rPr>
        <w:t>on</w:t>
      </w:r>
      <w:r w:rsidR="0020068A" w:rsidRPr="00575CC5">
        <w:rPr>
          <w:rFonts w:ascii="Times New Roman" w:hAnsi="Times New Roman" w:cs="Times New Roman"/>
          <w:noProof/>
          <w:sz w:val="24"/>
          <w:szCs w:val="24"/>
          <w:lang w:val="en-IE"/>
        </w:rPr>
        <w:t xml:space="preserve"> </w:t>
      </w:r>
      <w:r w:rsidR="00757D13" w:rsidRPr="00575CC5">
        <w:rPr>
          <w:rFonts w:ascii="Times New Roman" w:hAnsi="Times New Roman" w:cs="Times New Roman"/>
          <w:noProof/>
          <w:sz w:val="24"/>
          <w:szCs w:val="24"/>
          <w:lang w:val="en-IE"/>
        </w:rPr>
        <w:t xml:space="preserve">negligent </w:t>
      </w:r>
      <w:r w:rsidR="0020068A" w:rsidRPr="00575CC5">
        <w:rPr>
          <w:rFonts w:ascii="Times New Roman" w:hAnsi="Times New Roman" w:cs="Times New Roman"/>
          <w:noProof/>
          <w:sz w:val="24"/>
          <w:szCs w:val="24"/>
          <w:lang w:val="en-IE"/>
        </w:rPr>
        <w:t xml:space="preserve">money laundering </w:t>
      </w:r>
      <w:r w:rsidR="00D26B6E">
        <w:rPr>
          <w:rFonts w:ascii="Times New Roman" w:hAnsi="Times New Roman" w:cs="Times New Roman"/>
          <w:noProof/>
          <w:sz w:val="24"/>
          <w:szCs w:val="24"/>
          <w:lang w:val="en-IE"/>
        </w:rPr>
        <w:t>were included in several legal systems</w:t>
      </w:r>
      <w:r w:rsidR="00F141FF">
        <w:rPr>
          <w:rFonts w:ascii="Times New Roman" w:hAnsi="Times New Roman" w:cs="Times New Roman"/>
          <w:noProof/>
          <w:sz w:val="24"/>
          <w:szCs w:val="24"/>
          <w:lang w:val="en-IE"/>
        </w:rPr>
        <w:t>,</w:t>
      </w:r>
      <w:r w:rsidR="00D26B6E">
        <w:rPr>
          <w:rFonts w:ascii="Times New Roman" w:hAnsi="Times New Roman" w:cs="Times New Roman"/>
          <w:noProof/>
          <w:sz w:val="24"/>
          <w:szCs w:val="24"/>
          <w:lang w:val="en-IE"/>
        </w:rPr>
        <w:t xml:space="preserve"> according to </w:t>
      </w:r>
      <w:r w:rsidR="00F141FF">
        <w:rPr>
          <w:rFonts w:ascii="Times New Roman" w:hAnsi="Times New Roman" w:cs="Times New Roman"/>
          <w:noProof/>
          <w:sz w:val="24"/>
          <w:szCs w:val="24"/>
          <w:lang w:val="en-IE"/>
        </w:rPr>
        <w:t xml:space="preserve">the </w:t>
      </w:r>
      <w:r w:rsidR="00D26B6E">
        <w:rPr>
          <w:rFonts w:ascii="Times New Roman" w:hAnsi="Times New Roman" w:cs="Times New Roman"/>
          <w:noProof/>
          <w:sz w:val="24"/>
          <w:szCs w:val="24"/>
          <w:lang w:val="en-IE"/>
        </w:rPr>
        <w:t xml:space="preserve">judicial </w:t>
      </w:r>
      <w:r w:rsidR="00D26B6E" w:rsidRPr="00FA68F1">
        <w:rPr>
          <w:rFonts w:ascii="Times New Roman" w:hAnsi="Times New Roman" w:cs="Times New Roman"/>
          <w:noProof/>
          <w:sz w:val="24"/>
          <w:szCs w:val="24"/>
          <w:lang w:val="en-IE"/>
        </w:rPr>
        <w:t>authorities consulted</w:t>
      </w:r>
      <w:r w:rsidR="00D26B6E">
        <w:rPr>
          <w:rFonts w:ascii="Times New Roman" w:hAnsi="Times New Roman" w:cs="Times New Roman"/>
          <w:noProof/>
          <w:sz w:val="24"/>
          <w:szCs w:val="24"/>
          <w:lang w:val="en-IE"/>
        </w:rPr>
        <w:t xml:space="preserve">. </w:t>
      </w:r>
      <w:r w:rsidR="00F141FF">
        <w:rPr>
          <w:rFonts w:ascii="Times New Roman" w:hAnsi="Times New Roman" w:cs="Times New Roman"/>
          <w:noProof/>
          <w:sz w:val="24"/>
          <w:szCs w:val="24"/>
          <w:lang w:val="en-IE"/>
        </w:rPr>
        <w:t xml:space="preserve">These provisions </w:t>
      </w:r>
      <w:r w:rsidR="0020068A" w:rsidRPr="00575CC5">
        <w:rPr>
          <w:rFonts w:ascii="Times New Roman" w:hAnsi="Times New Roman" w:cs="Times New Roman"/>
          <w:noProof/>
          <w:sz w:val="24"/>
          <w:szCs w:val="24"/>
          <w:lang w:val="en-IE"/>
        </w:rPr>
        <w:t>are widely regarded as highly effective across various stakeholder categories</w:t>
      </w:r>
      <w:r w:rsidR="0020068A" w:rsidRPr="00575CC5">
        <w:rPr>
          <w:rFonts w:ascii="Times New Roman" w:hAnsi="Times New Roman" w:cs="Times New Roman"/>
          <w:noProof/>
          <w:sz w:val="24"/>
          <w:szCs w:val="24"/>
          <w:vertAlign w:val="superscript"/>
          <w:lang w:val="en-IE"/>
        </w:rPr>
        <w:footnoteReference w:id="45"/>
      </w:r>
      <w:r w:rsidR="0020068A" w:rsidRPr="00575CC5">
        <w:rPr>
          <w:rFonts w:ascii="Times New Roman" w:hAnsi="Times New Roman" w:cs="Times New Roman"/>
          <w:noProof/>
          <w:sz w:val="24"/>
          <w:szCs w:val="24"/>
          <w:lang w:val="en-IE"/>
        </w:rPr>
        <w:t xml:space="preserve"> </w:t>
      </w:r>
      <w:r w:rsidR="00D26B6E">
        <w:rPr>
          <w:rFonts w:ascii="Times New Roman" w:hAnsi="Times New Roman" w:cs="Times New Roman"/>
          <w:noProof/>
          <w:sz w:val="24"/>
          <w:szCs w:val="24"/>
          <w:lang w:val="en-IE"/>
        </w:rPr>
        <w:t xml:space="preserve">because </w:t>
      </w:r>
      <w:r w:rsidR="0020068A" w:rsidRPr="00575CC5">
        <w:rPr>
          <w:rFonts w:ascii="Times New Roman" w:hAnsi="Times New Roman" w:cs="Times New Roman"/>
          <w:noProof/>
          <w:sz w:val="24"/>
          <w:szCs w:val="24"/>
          <w:lang w:val="en-IE"/>
        </w:rPr>
        <w:t>intent does not have to be proven</w:t>
      </w:r>
      <w:r w:rsidR="00D26B6E">
        <w:rPr>
          <w:rFonts w:ascii="Times New Roman" w:hAnsi="Times New Roman" w:cs="Times New Roman"/>
          <w:noProof/>
          <w:sz w:val="24"/>
          <w:szCs w:val="24"/>
          <w:lang w:val="en-IE"/>
        </w:rPr>
        <w:t>, making</w:t>
      </w:r>
      <w:r w:rsidR="00012EF5">
        <w:rPr>
          <w:rFonts w:ascii="Times New Roman" w:hAnsi="Times New Roman" w:cs="Times New Roman"/>
          <w:noProof/>
          <w:sz w:val="24"/>
          <w:szCs w:val="24"/>
          <w:lang w:val="en-IE"/>
        </w:rPr>
        <w:t xml:space="preserve"> a conviction for money laundering easier to achieve</w:t>
      </w:r>
      <w:r w:rsidR="0020068A" w:rsidRPr="00575CC5">
        <w:rPr>
          <w:rFonts w:ascii="Times New Roman" w:hAnsi="Times New Roman" w:cs="Times New Roman"/>
          <w:noProof/>
          <w:sz w:val="24"/>
          <w:szCs w:val="24"/>
          <w:lang w:val="en-IE"/>
        </w:rPr>
        <w:t>. Members of the EMPACT</w:t>
      </w:r>
      <w:r w:rsidR="00D26B6E">
        <w:rPr>
          <w:rFonts w:ascii="Times New Roman" w:hAnsi="Times New Roman" w:cs="Times New Roman"/>
          <w:noProof/>
          <w:sz w:val="24"/>
          <w:szCs w:val="24"/>
          <w:lang w:val="en-IE"/>
        </w:rPr>
        <w:t xml:space="preserve"> community</w:t>
      </w:r>
      <w:r w:rsidR="0020068A" w:rsidRPr="00575CC5">
        <w:rPr>
          <w:rFonts w:ascii="Times New Roman" w:hAnsi="Times New Roman" w:cs="Times New Roman"/>
          <w:noProof/>
          <w:sz w:val="24"/>
          <w:szCs w:val="24"/>
          <w:lang w:val="en-IE"/>
        </w:rPr>
        <w:t xml:space="preserve"> </w:t>
      </w:r>
      <w:r w:rsidR="00827093" w:rsidRPr="00575CC5">
        <w:rPr>
          <w:rFonts w:ascii="Times New Roman" w:hAnsi="Times New Roman" w:cs="Times New Roman"/>
          <w:noProof/>
          <w:sz w:val="24"/>
          <w:szCs w:val="24"/>
          <w:lang w:val="en-IE"/>
        </w:rPr>
        <w:t xml:space="preserve">also </w:t>
      </w:r>
      <w:r w:rsidR="0020068A" w:rsidRPr="00575CC5">
        <w:rPr>
          <w:rFonts w:ascii="Times New Roman" w:hAnsi="Times New Roman" w:cs="Times New Roman"/>
          <w:noProof/>
          <w:sz w:val="24"/>
          <w:szCs w:val="24"/>
          <w:lang w:val="en-IE"/>
        </w:rPr>
        <w:t xml:space="preserve">recognised the positive effects of </w:t>
      </w:r>
      <w:r w:rsidR="00C06F68" w:rsidRPr="00575CC5">
        <w:rPr>
          <w:rFonts w:ascii="Times New Roman" w:hAnsi="Times New Roman" w:cs="Times New Roman"/>
          <w:noProof/>
          <w:sz w:val="24"/>
          <w:szCs w:val="24"/>
          <w:lang w:val="en-IE"/>
        </w:rPr>
        <w:t>the optional</w:t>
      </w:r>
      <w:r w:rsidR="0020068A" w:rsidRPr="00575CC5">
        <w:rPr>
          <w:rFonts w:ascii="Times New Roman" w:hAnsi="Times New Roman" w:cs="Times New Roman"/>
          <w:noProof/>
          <w:sz w:val="24"/>
          <w:szCs w:val="24"/>
          <w:lang w:val="en-IE"/>
        </w:rPr>
        <w:t xml:space="preserve"> aggravating circumstances</w:t>
      </w:r>
      <w:r w:rsidR="0020068A" w:rsidRPr="00575CC5">
        <w:rPr>
          <w:rFonts w:ascii="Times New Roman" w:hAnsi="Times New Roman" w:cs="Times New Roman"/>
          <w:noProof/>
          <w:sz w:val="24"/>
          <w:szCs w:val="24"/>
          <w:vertAlign w:val="superscript"/>
          <w:lang w:val="en-IE"/>
        </w:rPr>
        <w:footnoteReference w:id="46"/>
      </w:r>
      <w:r w:rsidR="0020068A" w:rsidRPr="00575CC5">
        <w:rPr>
          <w:rFonts w:ascii="Times New Roman" w:hAnsi="Times New Roman" w:cs="Times New Roman"/>
          <w:noProof/>
          <w:sz w:val="24"/>
          <w:szCs w:val="24"/>
          <w:lang w:val="en-IE"/>
        </w:rPr>
        <w:t>.</w:t>
      </w:r>
    </w:p>
    <w:p w14:paraId="529004C5" w14:textId="2FD48768" w:rsidR="00383A20" w:rsidRDefault="00640396" w:rsidP="0020068A">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optionality of certain </w:t>
      </w:r>
      <w:r w:rsidR="00AF3283">
        <w:rPr>
          <w:rFonts w:ascii="Times New Roman" w:hAnsi="Times New Roman" w:cs="Times New Roman"/>
          <w:noProof/>
          <w:sz w:val="24"/>
          <w:szCs w:val="24"/>
          <w:lang w:val="en-IE"/>
        </w:rPr>
        <w:t>provisions</w:t>
      </w:r>
      <w:r>
        <w:rPr>
          <w:rFonts w:ascii="Times New Roman" w:hAnsi="Times New Roman" w:cs="Times New Roman"/>
          <w:noProof/>
          <w:sz w:val="24"/>
          <w:szCs w:val="24"/>
          <w:lang w:val="en-IE"/>
        </w:rPr>
        <w:t xml:space="preserve"> does not lead to a harmonised legal </w:t>
      </w:r>
      <w:r w:rsidR="00E679D7">
        <w:rPr>
          <w:rFonts w:ascii="Times New Roman" w:hAnsi="Times New Roman" w:cs="Times New Roman"/>
          <w:noProof/>
          <w:sz w:val="24"/>
          <w:szCs w:val="24"/>
          <w:lang w:val="en-IE"/>
        </w:rPr>
        <w:t>framework;</w:t>
      </w:r>
      <w:r w:rsidR="00AF3283">
        <w:rPr>
          <w:rFonts w:ascii="Times New Roman" w:hAnsi="Times New Roman" w:cs="Times New Roman"/>
          <w:noProof/>
          <w:sz w:val="24"/>
          <w:szCs w:val="24"/>
          <w:lang w:val="en-IE"/>
        </w:rPr>
        <w:t xml:space="preserve"> however, this does not seem to have an impact on the effectiveness of the Directive</w:t>
      </w:r>
      <w:r w:rsidR="00267B70">
        <w:rPr>
          <w:rFonts w:ascii="Times New Roman" w:hAnsi="Times New Roman" w:cs="Times New Roman"/>
          <w:noProof/>
          <w:sz w:val="24"/>
          <w:szCs w:val="24"/>
          <w:lang w:val="en-IE"/>
        </w:rPr>
        <w:t xml:space="preserve">. In this context, </w:t>
      </w:r>
      <w:r w:rsidR="0020068A" w:rsidRPr="00575CC5">
        <w:rPr>
          <w:rFonts w:ascii="Times New Roman" w:hAnsi="Times New Roman" w:cs="Times New Roman"/>
          <w:noProof/>
          <w:sz w:val="24"/>
          <w:szCs w:val="24"/>
          <w:lang w:val="en-IE"/>
        </w:rPr>
        <w:t xml:space="preserve">some stakeholders supported retaining the non-mandatory nature of these provisions, </w:t>
      </w:r>
      <w:r w:rsidR="002A405A">
        <w:rPr>
          <w:rFonts w:ascii="Times New Roman" w:hAnsi="Times New Roman" w:cs="Times New Roman"/>
          <w:noProof/>
          <w:sz w:val="24"/>
          <w:szCs w:val="24"/>
          <w:lang w:val="en-IE"/>
        </w:rPr>
        <w:t>giving</w:t>
      </w:r>
      <w:r w:rsidR="002A405A" w:rsidRPr="00575CC5">
        <w:rPr>
          <w:rFonts w:ascii="Times New Roman" w:hAnsi="Times New Roman" w:cs="Times New Roman"/>
          <w:noProof/>
          <w:sz w:val="24"/>
          <w:szCs w:val="24"/>
          <w:lang w:val="en-IE"/>
        </w:rPr>
        <w:t xml:space="preserve"> </w:t>
      </w:r>
      <w:r w:rsidR="0020068A" w:rsidRPr="00575CC5">
        <w:rPr>
          <w:rFonts w:ascii="Times New Roman" w:hAnsi="Times New Roman" w:cs="Times New Roman"/>
          <w:noProof/>
          <w:sz w:val="24"/>
          <w:szCs w:val="24"/>
          <w:lang w:val="en-IE"/>
        </w:rPr>
        <w:t xml:space="preserve">Member States </w:t>
      </w:r>
      <w:r w:rsidR="001A77D8" w:rsidRPr="00575CC5">
        <w:rPr>
          <w:rFonts w:ascii="Times New Roman" w:hAnsi="Times New Roman" w:cs="Times New Roman"/>
          <w:noProof/>
          <w:sz w:val="24"/>
          <w:szCs w:val="24"/>
          <w:lang w:val="en-IE"/>
        </w:rPr>
        <w:t xml:space="preserve">flexibility </w:t>
      </w:r>
      <w:r w:rsidR="0020068A" w:rsidRPr="00575CC5">
        <w:rPr>
          <w:rFonts w:ascii="Times New Roman" w:hAnsi="Times New Roman" w:cs="Times New Roman"/>
          <w:noProof/>
          <w:sz w:val="24"/>
          <w:szCs w:val="24"/>
          <w:lang w:val="en-IE"/>
        </w:rPr>
        <w:t xml:space="preserve">to implement them in line with their respective legal traditions and constraints. Several </w:t>
      </w:r>
      <w:r w:rsidR="0020068A" w:rsidRPr="00575CC5">
        <w:rPr>
          <w:rFonts w:ascii="Times New Roman" w:hAnsi="Times New Roman" w:cs="Times New Roman"/>
          <w:b/>
          <w:noProof/>
          <w:sz w:val="24"/>
          <w:szCs w:val="24"/>
          <w:lang w:val="en-IE"/>
        </w:rPr>
        <w:t>legal experts and academics</w:t>
      </w:r>
      <w:r w:rsidR="0020068A" w:rsidRPr="00575CC5">
        <w:rPr>
          <w:rFonts w:ascii="Times New Roman" w:hAnsi="Times New Roman" w:cs="Times New Roman"/>
          <w:noProof/>
          <w:sz w:val="24"/>
          <w:szCs w:val="24"/>
          <w:lang w:val="en-IE"/>
        </w:rPr>
        <w:t xml:space="preserve"> </w:t>
      </w:r>
      <w:r w:rsidR="0097190B" w:rsidRPr="00575CC5">
        <w:rPr>
          <w:rFonts w:ascii="Times New Roman" w:hAnsi="Times New Roman" w:cs="Times New Roman"/>
          <w:noProof/>
          <w:sz w:val="24"/>
          <w:szCs w:val="24"/>
          <w:lang w:val="en-IE"/>
        </w:rPr>
        <w:t>from</w:t>
      </w:r>
      <w:r w:rsidR="0020068A" w:rsidRPr="00575CC5">
        <w:rPr>
          <w:rFonts w:ascii="Times New Roman" w:hAnsi="Times New Roman" w:cs="Times New Roman"/>
          <w:noProof/>
          <w:sz w:val="24"/>
          <w:szCs w:val="24"/>
          <w:lang w:val="en-IE"/>
        </w:rPr>
        <w:t xml:space="preserve"> the Expert Group on EU Criminal Policy explicitly referred to Article 3(2), commenting that </w:t>
      </w:r>
      <w:r w:rsidR="0020068A" w:rsidRPr="00A56091">
        <w:rPr>
          <w:rFonts w:ascii="Times New Roman" w:hAnsi="Times New Roman" w:cs="Times New Roman"/>
          <w:b/>
          <w:noProof/>
          <w:sz w:val="24"/>
          <w:szCs w:val="24"/>
          <w:lang w:val="en-IE"/>
        </w:rPr>
        <w:t>negligence</w:t>
      </w:r>
      <w:r w:rsidR="0020068A" w:rsidRPr="00575CC5">
        <w:rPr>
          <w:rFonts w:ascii="Times New Roman" w:hAnsi="Times New Roman" w:cs="Times New Roman"/>
          <w:noProof/>
          <w:sz w:val="24"/>
          <w:szCs w:val="24"/>
          <w:lang w:val="en-IE"/>
        </w:rPr>
        <w:t xml:space="preserve"> </w:t>
      </w:r>
      <w:r w:rsidR="00EC5354">
        <w:rPr>
          <w:rFonts w:ascii="Times New Roman" w:hAnsi="Times New Roman" w:cs="Times New Roman"/>
          <w:noProof/>
          <w:sz w:val="24"/>
          <w:szCs w:val="24"/>
          <w:lang w:val="en-IE"/>
        </w:rPr>
        <w:t>should only be used to protect</w:t>
      </w:r>
      <w:r w:rsidR="00EC5354" w:rsidRPr="00575CC5">
        <w:rPr>
          <w:rFonts w:ascii="Times New Roman" w:hAnsi="Times New Roman" w:cs="Times New Roman"/>
          <w:noProof/>
          <w:sz w:val="24"/>
          <w:szCs w:val="24"/>
          <w:lang w:val="en-IE"/>
        </w:rPr>
        <w:t xml:space="preserve"> </w:t>
      </w:r>
      <w:r w:rsidR="0020068A" w:rsidRPr="00575CC5">
        <w:rPr>
          <w:rFonts w:ascii="Times New Roman" w:hAnsi="Times New Roman" w:cs="Times New Roman"/>
          <w:noProof/>
          <w:sz w:val="24"/>
          <w:szCs w:val="24"/>
          <w:lang w:val="en-IE"/>
        </w:rPr>
        <w:t>important legal interests, such as life or bodily integrity, and is not appropriate for money laundering</w:t>
      </w:r>
      <w:r w:rsidR="0020068A" w:rsidRPr="00575CC5">
        <w:rPr>
          <w:rFonts w:ascii="Times New Roman" w:hAnsi="Times New Roman" w:cs="Times New Roman"/>
          <w:noProof/>
          <w:sz w:val="24"/>
          <w:szCs w:val="24"/>
          <w:vertAlign w:val="superscript"/>
          <w:lang w:val="en-IE"/>
        </w:rPr>
        <w:footnoteReference w:id="47"/>
      </w:r>
      <w:r w:rsidR="0020068A" w:rsidRPr="00575CC5">
        <w:rPr>
          <w:rFonts w:ascii="Times New Roman" w:hAnsi="Times New Roman" w:cs="Times New Roman"/>
          <w:noProof/>
          <w:sz w:val="24"/>
          <w:szCs w:val="24"/>
          <w:lang w:val="en-IE"/>
        </w:rPr>
        <w:t xml:space="preserve">. They argued that money laundering, as a crime against the administration of justice, should </w:t>
      </w:r>
      <w:r w:rsidR="00B67476" w:rsidRPr="00575CC5">
        <w:rPr>
          <w:rFonts w:ascii="Times New Roman" w:hAnsi="Times New Roman" w:cs="Times New Roman"/>
          <w:noProof/>
          <w:sz w:val="24"/>
          <w:szCs w:val="24"/>
          <w:lang w:val="en-IE"/>
        </w:rPr>
        <w:t xml:space="preserve">always </w:t>
      </w:r>
      <w:r w:rsidR="0020068A" w:rsidRPr="00575CC5">
        <w:rPr>
          <w:rFonts w:ascii="Times New Roman" w:hAnsi="Times New Roman" w:cs="Times New Roman"/>
          <w:noProof/>
          <w:sz w:val="24"/>
          <w:szCs w:val="24"/>
          <w:lang w:val="en-IE"/>
        </w:rPr>
        <w:t>require a form of intent.</w:t>
      </w:r>
    </w:p>
    <w:p w14:paraId="0521D77E" w14:textId="77777777" w:rsidR="00B814B8" w:rsidRPr="00575CC5" w:rsidRDefault="00B814B8" w:rsidP="0020068A">
      <w:pPr>
        <w:jc w:val="both"/>
        <w:rPr>
          <w:rFonts w:ascii="Times New Roman" w:hAnsi="Times New Roman" w:cs="Times New Roman"/>
          <w:noProof/>
          <w:sz w:val="24"/>
          <w:szCs w:val="24"/>
          <w:lang w:val="en-IE"/>
        </w:rPr>
      </w:pPr>
    </w:p>
    <w:p w14:paraId="776DDBD0" w14:textId="673DC355" w:rsidR="00BD4EDB" w:rsidRDefault="004C7E0C" w:rsidP="00152002">
      <w:pPr>
        <w:pStyle w:val="Heading4"/>
        <w:rPr>
          <w:rFonts w:ascii="Times New Roman" w:hAnsi="Times New Roman" w:cs="Times New Roman"/>
          <w:b/>
          <w:bCs/>
          <w:i w:val="0"/>
          <w:iCs w:val="0"/>
          <w:noProof/>
          <w:color w:val="000000" w:themeColor="text1"/>
          <w:sz w:val="24"/>
          <w:szCs w:val="24"/>
        </w:rPr>
      </w:pPr>
      <w:r>
        <w:rPr>
          <w:rFonts w:ascii="Times New Roman" w:hAnsi="Times New Roman" w:cs="Times New Roman"/>
          <w:b/>
          <w:bCs/>
          <w:i w:val="0"/>
          <w:iCs w:val="0"/>
          <w:noProof/>
          <w:color w:val="000000" w:themeColor="text1"/>
          <w:sz w:val="24"/>
          <w:szCs w:val="24"/>
          <w:lang w:val="en-IE"/>
        </w:rPr>
        <w:t xml:space="preserve">4.1.1.3. </w:t>
      </w:r>
      <w:r w:rsidR="00BD4EDB" w:rsidRPr="00BD4EDB">
        <w:rPr>
          <w:rFonts w:ascii="Times New Roman" w:hAnsi="Times New Roman" w:cs="Times New Roman"/>
          <w:b/>
          <w:bCs/>
          <w:i w:val="0"/>
          <w:iCs w:val="0"/>
          <w:noProof/>
          <w:color w:val="000000" w:themeColor="text1"/>
          <w:sz w:val="24"/>
          <w:szCs w:val="24"/>
        </w:rPr>
        <w:t>Money Laundering prevention</w:t>
      </w:r>
    </w:p>
    <w:p w14:paraId="2A2001F5" w14:textId="77777777" w:rsidR="00B814B8" w:rsidRDefault="00B814B8">
      <w:pPr>
        <w:jc w:val="both"/>
        <w:rPr>
          <w:rFonts w:ascii="Times New Roman" w:hAnsi="Times New Roman" w:cs="Times New Roman"/>
          <w:noProof/>
          <w:sz w:val="24"/>
          <w:szCs w:val="24"/>
          <w:lang w:val="en-IE"/>
        </w:rPr>
      </w:pPr>
    </w:p>
    <w:p w14:paraId="79207A20" w14:textId="791EB559" w:rsidR="00152002" w:rsidRPr="00F02686" w:rsidRDefault="00152002" w:rsidP="00F02686">
      <w:pPr>
        <w:jc w:val="both"/>
        <w:rPr>
          <w:rFonts w:ascii="Times New Roman" w:hAnsi="Times New Roman" w:cs="Times New Roman"/>
          <w:noProof/>
          <w:sz w:val="24"/>
          <w:szCs w:val="24"/>
          <w:lang w:val="en-IE"/>
        </w:rPr>
      </w:pPr>
      <w:r w:rsidRPr="00F02686">
        <w:rPr>
          <w:rFonts w:ascii="Times New Roman" w:hAnsi="Times New Roman" w:cs="Times New Roman"/>
          <w:noProof/>
          <w:sz w:val="24"/>
          <w:szCs w:val="24"/>
          <w:lang w:val="en-IE"/>
        </w:rPr>
        <w:t>Stakeholders offered differing assessments regarding the deterrent impact of Directive (EU) 2018/1673 on money laundering.</w:t>
      </w:r>
    </w:p>
    <w:p w14:paraId="6DFA0613" w14:textId="265DB85B" w:rsidR="00152002" w:rsidRPr="00862FD5" w:rsidRDefault="00152002" w:rsidP="00152002">
      <w:pPr>
        <w:jc w:val="both"/>
        <w:rPr>
          <w:rFonts w:ascii="Times New Roman" w:hAnsi="Times New Roman" w:cs="Times New Roman"/>
          <w:noProof/>
          <w:sz w:val="24"/>
          <w:szCs w:val="24"/>
          <w:lang w:val="en-IE"/>
        </w:rPr>
      </w:pPr>
      <w:r w:rsidRPr="00F02686">
        <w:rPr>
          <w:rFonts w:ascii="Times New Roman" w:hAnsi="Times New Roman" w:cs="Times New Roman"/>
          <w:noProof/>
          <w:sz w:val="24"/>
          <w:szCs w:val="24"/>
          <w:lang w:val="en-IE"/>
        </w:rPr>
        <w:t xml:space="preserve">Certain Judicial Authorities emphasised the significance of the Directive’s new criminal offences, while also stressing that enhanced international cooperation was crucial in reinforcing deterrence. Others, however, contended that their domestic legal frameworks had already addressed money laundering effectively before the Directive’s introduction. Law Enforcement Authorities presented similarly varied perspectives—some identified Article 3(2) and (3) as particularly effective in preventing money laundering, whereas others either lacked sufficient evidence to evaluate its impact or asserted that pre-existing national laws already met the Directive’s standards. </w:t>
      </w:r>
    </w:p>
    <w:p w14:paraId="0A162CCC" w14:textId="247E717C" w:rsidR="00E45A32" w:rsidRPr="00F02686" w:rsidRDefault="00E45A32" w:rsidP="00F02686">
      <w:pPr>
        <w:jc w:val="both"/>
        <w:rPr>
          <w:rFonts w:ascii="Times New Roman" w:hAnsi="Times New Roman" w:cs="Times New Roman"/>
          <w:noProof/>
          <w:sz w:val="24"/>
          <w:szCs w:val="24"/>
          <w:lang w:val="en-IE"/>
        </w:rPr>
      </w:pPr>
      <w:r w:rsidRPr="00862FD5">
        <w:rPr>
          <w:rFonts w:ascii="Times New Roman" w:hAnsi="Times New Roman" w:cs="Times New Roman"/>
          <w:noProof/>
          <w:sz w:val="24"/>
          <w:szCs w:val="24"/>
          <w:lang w:val="en-IE"/>
        </w:rPr>
        <w:t>Financial Intelligence Units, for the most part, observed little change following implementation, though an International Organisation highlighted the importance of standardised definitions across EU Member States to ensure consistency.</w:t>
      </w:r>
    </w:p>
    <w:p w14:paraId="08C523A3" w14:textId="1AD1C7E9" w:rsidR="00383A20" w:rsidRPr="00F02686" w:rsidRDefault="00152002" w:rsidP="00F02686">
      <w:pPr>
        <w:jc w:val="both"/>
        <w:rPr>
          <w:rFonts w:ascii="Times New Roman" w:hAnsi="Times New Roman" w:cs="Times New Roman"/>
          <w:noProof/>
          <w:sz w:val="24"/>
          <w:szCs w:val="24"/>
          <w:lang w:val="en-IE"/>
        </w:rPr>
      </w:pPr>
      <w:r w:rsidRPr="00F02686">
        <w:rPr>
          <w:rFonts w:ascii="Times New Roman" w:hAnsi="Times New Roman" w:cs="Times New Roman"/>
          <w:noProof/>
          <w:sz w:val="24"/>
          <w:szCs w:val="24"/>
          <w:lang w:val="en-IE"/>
        </w:rPr>
        <w:t>Meanwhile, participants within the EMPACT network confirmed that the Directive’s transposition had a discernible deterrent effect, citing provisions such as the removal of the need for prior conviction or extensive proof of the predicate offence, the ability to prosecute laundering of illicit proceeds linked to crimes committed in other Member States, and the liability of legal entities for failures in supervision or control. They also noted the introduction of independent criminal proceedings against legal entities, aggravating circumstances in sentencing, penalties for individuals, and sanctions for corporate entities.</w:t>
      </w:r>
    </w:p>
    <w:p w14:paraId="54121F46" w14:textId="0A594A1C" w:rsidR="00721B31" w:rsidRDefault="0020068A" w:rsidP="00721B31">
      <w:pPr>
        <w:pStyle w:val="Heading4"/>
        <w:rPr>
          <w:rFonts w:ascii="Times New Roman" w:hAnsi="Times New Roman" w:cs="Times New Roman"/>
          <w:b/>
          <w:bCs/>
          <w:i w:val="0"/>
          <w:iCs w:val="0"/>
          <w:noProof/>
          <w:color w:val="000000" w:themeColor="text1"/>
          <w:sz w:val="24"/>
          <w:szCs w:val="24"/>
          <w:lang w:val="en-IE"/>
        </w:rPr>
      </w:pPr>
      <w:r w:rsidRPr="00575CC5">
        <w:rPr>
          <w:rFonts w:ascii="Times New Roman" w:hAnsi="Times New Roman" w:cs="Times New Roman"/>
          <w:b/>
          <w:bCs/>
          <w:i w:val="0"/>
          <w:iCs w:val="0"/>
          <w:noProof/>
          <w:color w:val="000000" w:themeColor="text1"/>
          <w:sz w:val="24"/>
          <w:szCs w:val="24"/>
          <w:lang w:val="en-IE"/>
        </w:rPr>
        <w:t>4.1.1.</w:t>
      </w:r>
      <w:r w:rsidR="004C7E0C">
        <w:rPr>
          <w:rFonts w:ascii="Times New Roman" w:hAnsi="Times New Roman" w:cs="Times New Roman"/>
          <w:b/>
          <w:bCs/>
          <w:i w:val="0"/>
          <w:iCs w:val="0"/>
          <w:noProof/>
          <w:color w:val="000000" w:themeColor="text1"/>
          <w:sz w:val="24"/>
          <w:szCs w:val="24"/>
          <w:lang w:val="en-IE"/>
        </w:rPr>
        <w:t>4</w:t>
      </w:r>
      <w:r w:rsidR="004C7E0C" w:rsidRPr="00575CC5">
        <w:rPr>
          <w:rFonts w:ascii="Times New Roman" w:hAnsi="Times New Roman" w:cs="Times New Roman"/>
          <w:b/>
          <w:bCs/>
          <w:i w:val="0"/>
          <w:iCs w:val="0"/>
          <w:noProof/>
          <w:color w:val="000000" w:themeColor="text1"/>
          <w:sz w:val="24"/>
          <w:szCs w:val="24"/>
          <w:lang w:val="en-IE"/>
        </w:rPr>
        <w:t xml:space="preserve"> </w:t>
      </w:r>
      <w:r w:rsidRPr="00575CC5">
        <w:rPr>
          <w:rFonts w:ascii="Times New Roman" w:hAnsi="Times New Roman" w:cs="Times New Roman"/>
          <w:b/>
          <w:bCs/>
          <w:i w:val="0"/>
          <w:iCs w:val="0"/>
          <w:noProof/>
          <w:color w:val="000000" w:themeColor="text1"/>
          <w:sz w:val="24"/>
          <w:szCs w:val="24"/>
          <w:lang w:val="en-IE"/>
        </w:rPr>
        <w:t xml:space="preserve">Cross-border and </w:t>
      </w:r>
      <w:r w:rsidR="002A405A">
        <w:rPr>
          <w:rFonts w:ascii="Times New Roman" w:hAnsi="Times New Roman" w:cs="Times New Roman"/>
          <w:b/>
          <w:bCs/>
          <w:i w:val="0"/>
          <w:iCs w:val="0"/>
          <w:noProof/>
          <w:color w:val="000000" w:themeColor="text1"/>
          <w:sz w:val="24"/>
          <w:szCs w:val="24"/>
          <w:lang w:val="en-IE"/>
        </w:rPr>
        <w:t>i</w:t>
      </w:r>
      <w:r w:rsidR="002A405A" w:rsidRPr="00575CC5">
        <w:rPr>
          <w:rFonts w:ascii="Times New Roman" w:hAnsi="Times New Roman" w:cs="Times New Roman"/>
          <w:b/>
          <w:bCs/>
          <w:i w:val="0"/>
          <w:iCs w:val="0"/>
          <w:noProof/>
          <w:color w:val="000000" w:themeColor="text1"/>
          <w:sz w:val="24"/>
          <w:szCs w:val="24"/>
          <w:lang w:val="en-IE"/>
        </w:rPr>
        <w:t xml:space="preserve">nternational </w:t>
      </w:r>
      <w:r w:rsidR="002A405A">
        <w:rPr>
          <w:rFonts w:ascii="Times New Roman" w:hAnsi="Times New Roman" w:cs="Times New Roman"/>
          <w:b/>
          <w:bCs/>
          <w:i w:val="0"/>
          <w:iCs w:val="0"/>
          <w:noProof/>
          <w:color w:val="000000" w:themeColor="text1"/>
          <w:sz w:val="24"/>
          <w:szCs w:val="24"/>
          <w:lang w:val="en-IE"/>
        </w:rPr>
        <w:t>c</w:t>
      </w:r>
      <w:r w:rsidRPr="00575CC5">
        <w:rPr>
          <w:rFonts w:ascii="Times New Roman" w:hAnsi="Times New Roman" w:cs="Times New Roman"/>
          <w:b/>
          <w:bCs/>
          <w:i w:val="0"/>
          <w:iCs w:val="0"/>
          <w:noProof/>
          <w:color w:val="000000" w:themeColor="text1"/>
          <w:sz w:val="24"/>
          <w:szCs w:val="24"/>
          <w:lang w:val="en-IE"/>
        </w:rPr>
        <w:t>ooperation</w:t>
      </w:r>
    </w:p>
    <w:p w14:paraId="078835FC" w14:textId="77777777" w:rsidR="002A405A" w:rsidRPr="00F02686" w:rsidRDefault="002A405A" w:rsidP="00F02686">
      <w:pPr>
        <w:rPr>
          <w:i/>
          <w:iCs/>
          <w:noProof/>
          <w:lang w:val="en-IE"/>
        </w:rPr>
      </w:pPr>
    </w:p>
    <w:p w14:paraId="00D5F6FF" w14:textId="022826A8" w:rsidR="0082009C" w:rsidRDefault="003A0DC3" w:rsidP="0020068A">
      <w:pPr>
        <w:jc w:val="both"/>
        <w:rPr>
          <w:rFonts w:ascii="Times New Roman" w:eastAsia="MingLiU" w:hAnsi="Times New Roman" w:cs="Times New Roman"/>
          <w:noProof/>
          <w:sz w:val="18"/>
          <w:szCs w:val="18"/>
          <w:lang w:val="en-IE"/>
        </w:rPr>
      </w:pPr>
      <w:r>
        <w:rPr>
          <w:rFonts w:ascii="Times New Roman" w:hAnsi="Times New Roman" w:cs="Times New Roman"/>
          <w:noProof/>
          <w:sz w:val="24"/>
          <w:szCs w:val="24"/>
          <w:lang w:val="en-IE"/>
        </w:rPr>
        <w:t xml:space="preserve">The evaluation </w:t>
      </w:r>
      <w:r w:rsidR="002A405A">
        <w:rPr>
          <w:rFonts w:ascii="Times New Roman" w:hAnsi="Times New Roman" w:cs="Times New Roman"/>
          <w:noProof/>
          <w:sz w:val="24"/>
          <w:szCs w:val="24"/>
          <w:lang w:val="en-IE"/>
        </w:rPr>
        <w:t>seeks to establish</w:t>
      </w:r>
      <w:r>
        <w:rPr>
          <w:rFonts w:ascii="Times New Roman" w:hAnsi="Times New Roman" w:cs="Times New Roman"/>
          <w:noProof/>
          <w:sz w:val="24"/>
          <w:szCs w:val="24"/>
          <w:lang w:val="en-IE"/>
        </w:rPr>
        <w:t xml:space="preserve"> the </w:t>
      </w:r>
      <w:r w:rsidR="00D75269">
        <w:rPr>
          <w:rFonts w:ascii="Times New Roman" w:hAnsi="Times New Roman" w:cs="Times New Roman"/>
          <w:noProof/>
          <w:sz w:val="24"/>
          <w:szCs w:val="24"/>
          <w:lang w:val="en-IE"/>
        </w:rPr>
        <w:t xml:space="preserve">extent to which </w:t>
      </w:r>
      <w:r w:rsidRPr="009A39FA">
        <w:rPr>
          <w:rFonts w:ascii="Times New Roman" w:hAnsi="Times New Roman" w:cs="Times New Roman"/>
          <w:noProof/>
          <w:sz w:val="24"/>
          <w:szCs w:val="24"/>
          <w:lang w:val="en-IE"/>
        </w:rPr>
        <w:t xml:space="preserve">the provisions of the Directive </w:t>
      </w:r>
      <w:r w:rsidR="00D75269">
        <w:rPr>
          <w:rFonts w:ascii="Times New Roman" w:hAnsi="Times New Roman" w:cs="Times New Roman"/>
          <w:noProof/>
          <w:sz w:val="24"/>
          <w:szCs w:val="24"/>
          <w:lang w:val="en-IE"/>
        </w:rPr>
        <w:t xml:space="preserve">have </w:t>
      </w:r>
      <w:r w:rsidRPr="009A39FA">
        <w:rPr>
          <w:rFonts w:ascii="Times New Roman" w:hAnsi="Times New Roman" w:cs="Times New Roman"/>
          <w:noProof/>
          <w:sz w:val="24"/>
          <w:szCs w:val="24"/>
          <w:lang w:val="en-IE"/>
        </w:rPr>
        <w:t>facilitated cross</w:t>
      </w:r>
      <w:r w:rsidR="004325AB">
        <w:rPr>
          <w:rFonts w:ascii="Times New Roman" w:hAnsi="Times New Roman" w:cs="Times New Roman"/>
          <w:noProof/>
          <w:sz w:val="24"/>
          <w:szCs w:val="24"/>
          <w:lang w:val="en-IE"/>
        </w:rPr>
        <w:t>-</w:t>
      </w:r>
      <w:r w:rsidRPr="009A39FA">
        <w:rPr>
          <w:rFonts w:ascii="Times New Roman" w:hAnsi="Times New Roman" w:cs="Times New Roman"/>
          <w:noProof/>
          <w:sz w:val="24"/>
          <w:szCs w:val="24"/>
          <w:lang w:val="en-IE"/>
        </w:rPr>
        <w:t xml:space="preserve">border as well as international </w:t>
      </w:r>
      <w:r w:rsidR="00D75269">
        <w:rPr>
          <w:rFonts w:ascii="Times New Roman" w:hAnsi="Times New Roman" w:cs="Times New Roman"/>
          <w:noProof/>
          <w:sz w:val="24"/>
          <w:szCs w:val="24"/>
          <w:lang w:val="en-IE"/>
        </w:rPr>
        <w:t>cooperation.</w:t>
      </w:r>
    </w:p>
    <w:p w14:paraId="05E418E5" w14:textId="67B180CD" w:rsidR="0082009C" w:rsidRDefault="0082009C" w:rsidP="0020068A">
      <w:pPr>
        <w:jc w:val="both"/>
        <w:rPr>
          <w:rFonts w:ascii="Times New Roman" w:eastAsia="MingLiU" w:hAnsi="Times New Roman" w:cs="Times New Roman"/>
          <w:noProof/>
          <w:sz w:val="18"/>
          <w:szCs w:val="18"/>
          <w:lang w:val="en-IE"/>
        </w:rPr>
      </w:pPr>
      <w:r>
        <w:rPr>
          <w:rFonts w:ascii="Times New Roman" w:hAnsi="Times New Roman" w:cs="Times New Roman"/>
          <w:noProof/>
          <w:sz w:val="24"/>
          <w:szCs w:val="24"/>
          <w:lang w:val="en-IE"/>
        </w:rPr>
        <w:t xml:space="preserve">It must be noted </w:t>
      </w:r>
      <w:r w:rsidRPr="00D96CF9">
        <w:rPr>
          <w:rFonts w:ascii="Times New Roman" w:hAnsi="Times New Roman" w:cs="Times New Roman"/>
          <w:noProof/>
          <w:sz w:val="24"/>
          <w:szCs w:val="24"/>
          <w:lang w:val="en-IE"/>
        </w:rPr>
        <w:t xml:space="preserve"> that the Directive has </w:t>
      </w:r>
      <w:r w:rsidR="00A16D37">
        <w:rPr>
          <w:rFonts w:ascii="Times New Roman" w:hAnsi="Times New Roman" w:cs="Times New Roman"/>
          <w:noProof/>
          <w:sz w:val="24"/>
          <w:szCs w:val="24"/>
          <w:lang w:val="en-IE"/>
        </w:rPr>
        <w:t xml:space="preserve">certainly </w:t>
      </w:r>
      <w:r w:rsidRPr="00D96CF9">
        <w:rPr>
          <w:rFonts w:ascii="Times New Roman" w:hAnsi="Times New Roman" w:cs="Times New Roman"/>
          <w:noProof/>
          <w:sz w:val="24"/>
          <w:szCs w:val="24"/>
          <w:lang w:val="en-IE"/>
        </w:rPr>
        <w:t xml:space="preserve">facilitated cross-border cooperation in an indirect way, by approximating legal frameworks so that authorities from different Member States </w:t>
      </w:r>
      <w:r w:rsidR="00137973">
        <w:rPr>
          <w:rFonts w:ascii="Times New Roman" w:hAnsi="Times New Roman" w:cs="Times New Roman"/>
          <w:noProof/>
          <w:sz w:val="24"/>
          <w:szCs w:val="24"/>
          <w:lang w:val="en-IE"/>
        </w:rPr>
        <w:t>‘</w:t>
      </w:r>
      <w:r w:rsidRPr="00D96CF9">
        <w:rPr>
          <w:rFonts w:ascii="Times New Roman" w:hAnsi="Times New Roman" w:cs="Times New Roman"/>
          <w:noProof/>
          <w:sz w:val="24"/>
          <w:szCs w:val="24"/>
          <w:lang w:val="en-IE"/>
        </w:rPr>
        <w:t>speak a common language</w:t>
      </w:r>
      <w:r w:rsidR="00137973">
        <w:rPr>
          <w:rFonts w:ascii="Times New Roman" w:hAnsi="Times New Roman" w:cs="Times New Roman"/>
          <w:noProof/>
          <w:sz w:val="24"/>
          <w:szCs w:val="24"/>
          <w:lang w:val="en-IE"/>
        </w:rPr>
        <w:t>’</w:t>
      </w:r>
      <w:r w:rsidRPr="00D96CF9">
        <w:rPr>
          <w:rFonts w:ascii="Times New Roman" w:hAnsi="Times New Roman" w:cs="Times New Roman"/>
          <w:noProof/>
          <w:sz w:val="24"/>
          <w:szCs w:val="24"/>
          <w:lang w:val="en-IE"/>
        </w:rPr>
        <w:t>: the more offences and penalties resemble</w:t>
      </w:r>
      <w:r w:rsidR="00137973">
        <w:rPr>
          <w:rFonts w:ascii="Times New Roman" w:hAnsi="Times New Roman" w:cs="Times New Roman"/>
          <w:noProof/>
          <w:sz w:val="24"/>
          <w:szCs w:val="24"/>
          <w:lang w:val="en-IE"/>
        </w:rPr>
        <w:t xml:space="preserve"> each other</w:t>
      </w:r>
      <w:r w:rsidRPr="00D96CF9">
        <w:rPr>
          <w:rFonts w:ascii="Times New Roman" w:hAnsi="Times New Roman" w:cs="Times New Roman"/>
          <w:noProof/>
          <w:sz w:val="24"/>
          <w:szCs w:val="24"/>
          <w:lang w:val="en-IE"/>
        </w:rPr>
        <w:t xml:space="preserve">, the easier it is for </w:t>
      </w:r>
      <w:r w:rsidR="00137973">
        <w:rPr>
          <w:rFonts w:ascii="Times New Roman" w:hAnsi="Times New Roman" w:cs="Times New Roman"/>
          <w:noProof/>
          <w:sz w:val="24"/>
          <w:szCs w:val="24"/>
          <w:lang w:val="en-IE"/>
        </w:rPr>
        <w:t>Member States</w:t>
      </w:r>
      <w:r w:rsidRPr="00D96CF9">
        <w:rPr>
          <w:rFonts w:ascii="Times New Roman" w:hAnsi="Times New Roman" w:cs="Times New Roman"/>
          <w:noProof/>
          <w:sz w:val="24"/>
          <w:szCs w:val="24"/>
          <w:lang w:val="en-IE"/>
        </w:rPr>
        <w:t xml:space="preserve"> to cooperate across borders</w:t>
      </w:r>
      <w:r w:rsidR="00137973">
        <w:rPr>
          <w:rFonts w:ascii="Times New Roman" w:hAnsi="Times New Roman" w:cs="Times New Roman"/>
          <w:noProof/>
          <w:sz w:val="24"/>
          <w:szCs w:val="24"/>
          <w:lang w:val="en-IE"/>
        </w:rPr>
        <w:t xml:space="preserve"> and</w:t>
      </w:r>
      <w:r w:rsidRPr="00D96CF9">
        <w:rPr>
          <w:rFonts w:ascii="Times New Roman" w:hAnsi="Times New Roman" w:cs="Times New Roman"/>
          <w:noProof/>
          <w:sz w:val="24"/>
          <w:szCs w:val="24"/>
          <w:lang w:val="en-IE"/>
        </w:rPr>
        <w:t xml:space="preserve"> recognise judgments. However, the Directive does not contain provisions specifically governing cross-border cooperation, which </w:t>
      </w:r>
      <w:r w:rsidR="009E4D7B">
        <w:rPr>
          <w:rFonts w:ascii="Times New Roman" w:hAnsi="Times New Roman" w:cs="Times New Roman"/>
          <w:noProof/>
          <w:sz w:val="24"/>
          <w:szCs w:val="24"/>
          <w:lang w:val="en-IE"/>
        </w:rPr>
        <w:t>is</w:t>
      </w:r>
      <w:r w:rsidRPr="00D96CF9">
        <w:rPr>
          <w:rFonts w:ascii="Times New Roman" w:hAnsi="Times New Roman" w:cs="Times New Roman"/>
          <w:noProof/>
          <w:sz w:val="24"/>
          <w:szCs w:val="24"/>
          <w:lang w:val="en-IE"/>
        </w:rPr>
        <w:t xml:space="preserve"> regulated in other instruments such as the Directives on the European Investigation Order and on </w:t>
      </w:r>
      <w:r w:rsidR="000361B0">
        <w:rPr>
          <w:rFonts w:ascii="Times New Roman" w:hAnsi="Times New Roman" w:cs="Times New Roman"/>
          <w:noProof/>
          <w:sz w:val="24"/>
          <w:szCs w:val="24"/>
          <w:lang w:val="en-IE"/>
        </w:rPr>
        <w:t>the exchange of information between police forces</w:t>
      </w:r>
      <w:r w:rsidRPr="00D96CF9">
        <w:rPr>
          <w:rFonts w:ascii="Times New Roman" w:hAnsi="Times New Roman" w:cs="Times New Roman"/>
          <w:noProof/>
          <w:sz w:val="24"/>
          <w:szCs w:val="24"/>
          <w:vertAlign w:val="superscript"/>
          <w:lang w:val="en-IE"/>
        </w:rPr>
        <w:footnoteReference w:id="48"/>
      </w:r>
      <w:r w:rsidRPr="00D96CF9">
        <w:rPr>
          <w:rFonts w:ascii="Times New Roman" w:hAnsi="Times New Roman" w:cs="Times New Roman"/>
          <w:noProof/>
          <w:sz w:val="24"/>
          <w:szCs w:val="24"/>
          <w:lang w:val="en-IE"/>
        </w:rPr>
        <w:t>.</w:t>
      </w:r>
    </w:p>
    <w:p w14:paraId="6A7C6857" w14:textId="5A10C7D4" w:rsidR="0020068A" w:rsidRPr="008F4C67" w:rsidRDefault="00A16D37" w:rsidP="0020068A">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w:t>
      </w:r>
      <w:r w:rsidR="00132E50">
        <w:rPr>
          <w:rFonts w:ascii="Times New Roman" w:hAnsi="Times New Roman" w:cs="Times New Roman"/>
          <w:noProof/>
          <w:sz w:val="24"/>
          <w:szCs w:val="24"/>
          <w:lang w:val="en-IE"/>
        </w:rPr>
        <w:t xml:space="preserve">responses </w:t>
      </w:r>
      <w:r>
        <w:rPr>
          <w:rFonts w:ascii="Times New Roman" w:hAnsi="Times New Roman" w:cs="Times New Roman"/>
          <w:noProof/>
          <w:sz w:val="24"/>
          <w:szCs w:val="24"/>
          <w:lang w:val="en-IE"/>
        </w:rPr>
        <w:t>on this</w:t>
      </w:r>
      <w:r w:rsidR="00331BB1">
        <w:rPr>
          <w:rFonts w:ascii="Times New Roman" w:hAnsi="Times New Roman" w:cs="Times New Roman"/>
          <w:noProof/>
          <w:sz w:val="24"/>
          <w:szCs w:val="24"/>
          <w:lang w:val="en-IE"/>
        </w:rPr>
        <w:t xml:space="preserve"> topic </w:t>
      </w:r>
      <w:r w:rsidR="00132E50">
        <w:rPr>
          <w:rFonts w:ascii="Times New Roman" w:hAnsi="Times New Roman" w:cs="Times New Roman"/>
          <w:noProof/>
          <w:sz w:val="24"/>
          <w:szCs w:val="24"/>
          <w:lang w:val="en-IE"/>
        </w:rPr>
        <w:t>varied</w:t>
      </w:r>
      <w:r w:rsidR="0020068A" w:rsidRPr="00575CC5">
        <w:rPr>
          <w:rFonts w:ascii="Times New Roman" w:hAnsi="Times New Roman" w:cs="Times New Roman"/>
          <w:noProof/>
          <w:sz w:val="24"/>
          <w:szCs w:val="24"/>
          <w:lang w:val="en-IE"/>
        </w:rPr>
        <w:t xml:space="preserve"> depending on the </w:t>
      </w:r>
      <w:r w:rsidR="0020068A" w:rsidRPr="008F4C67">
        <w:rPr>
          <w:rFonts w:ascii="Times New Roman" w:hAnsi="Times New Roman" w:cs="Times New Roman"/>
          <w:noProof/>
          <w:sz w:val="24"/>
          <w:szCs w:val="24"/>
          <w:lang w:val="en-IE"/>
        </w:rPr>
        <w:t>authorities consulted</w:t>
      </w:r>
      <w:r w:rsidR="00B67476" w:rsidRPr="008F4C67">
        <w:rPr>
          <w:rFonts w:ascii="Times New Roman" w:hAnsi="Times New Roman" w:cs="Times New Roman"/>
          <w:noProof/>
          <w:sz w:val="24"/>
          <w:szCs w:val="24"/>
          <w:lang w:val="en-IE"/>
        </w:rPr>
        <w:t>,</w:t>
      </w:r>
      <w:r w:rsidR="0020068A" w:rsidRPr="008F4C67">
        <w:rPr>
          <w:rFonts w:ascii="Times New Roman" w:hAnsi="Times New Roman" w:cs="Times New Roman"/>
          <w:noProof/>
          <w:sz w:val="24"/>
          <w:szCs w:val="24"/>
          <w:lang w:val="en-IE"/>
        </w:rPr>
        <w:t xml:space="preserve"> and </w:t>
      </w:r>
      <w:r w:rsidR="00B67476" w:rsidRPr="008F4C67">
        <w:rPr>
          <w:rFonts w:ascii="Times New Roman" w:hAnsi="Times New Roman" w:cs="Times New Roman"/>
          <w:noProof/>
          <w:sz w:val="24"/>
          <w:szCs w:val="24"/>
          <w:lang w:val="en-IE"/>
        </w:rPr>
        <w:t xml:space="preserve">often </w:t>
      </w:r>
      <w:r w:rsidR="0020068A" w:rsidRPr="008F4C67">
        <w:rPr>
          <w:rFonts w:ascii="Times New Roman" w:hAnsi="Times New Roman" w:cs="Times New Roman"/>
          <w:noProof/>
          <w:sz w:val="24"/>
          <w:szCs w:val="24"/>
          <w:lang w:val="en-IE"/>
        </w:rPr>
        <w:t xml:space="preserve">views within </w:t>
      </w:r>
      <w:r w:rsidR="00B67476" w:rsidRPr="008F4C67">
        <w:rPr>
          <w:rFonts w:ascii="Times New Roman" w:hAnsi="Times New Roman" w:cs="Times New Roman"/>
          <w:noProof/>
          <w:sz w:val="24"/>
          <w:szCs w:val="24"/>
          <w:lang w:val="en-IE"/>
        </w:rPr>
        <w:t xml:space="preserve">each </w:t>
      </w:r>
      <w:r w:rsidR="0020068A" w:rsidRPr="008F4C67">
        <w:rPr>
          <w:rFonts w:ascii="Times New Roman" w:hAnsi="Times New Roman" w:cs="Times New Roman"/>
          <w:noProof/>
          <w:sz w:val="24"/>
          <w:szCs w:val="24"/>
          <w:lang w:val="en-IE"/>
        </w:rPr>
        <w:t>group differed</w:t>
      </w:r>
      <w:r w:rsidR="0020068A" w:rsidRPr="008F4C67">
        <w:rPr>
          <w:rFonts w:ascii="Times New Roman" w:hAnsi="Times New Roman" w:cs="Times New Roman"/>
          <w:noProof/>
          <w:sz w:val="24"/>
          <w:szCs w:val="24"/>
          <w:vertAlign w:val="superscript"/>
          <w:lang w:val="en-IE"/>
        </w:rPr>
        <w:footnoteReference w:id="49"/>
      </w:r>
      <w:r w:rsidR="004D6326" w:rsidRPr="008F4C67">
        <w:rPr>
          <w:rFonts w:ascii="Times New Roman" w:hAnsi="Times New Roman" w:cs="Times New Roman"/>
          <w:noProof/>
          <w:sz w:val="24"/>
          <w:szCs w:val="24"/>
          <w:lang w:val="en-IE"/>
        </w:rPr>
        <w:t xml:space="preserve">, the responses generally suggest that there was </w:t>
      </w:r>
      <w:r w:rsidR="00400A67" w:rsidRPr="008F4C67">
        <w:rPr>
          <w:rFonts w:ascii="Times New Roman" w:hAnsi="Times New Roman" w:cs="Times New Roman"/>
          <w:noProof/>
          <w:sz w:val="24"/>
          <w:szCs w:val="24"/>
          <w:lang w:val="en-IE"/>
        </w:rPr>
        <w:t>moderate to high facilitation of cross-border cooperation</w:t>
      </w:r>
      <w:r w:rsidR="00A047F8" w:rsidRPr="008F4C67">
        <w:rPr>
          <w:rFonts w:ascii="Times New Roman" w:hAnsi="Times New Roman" w:cs="Times New Roman"/>
          <w:noProof/>
          <w:sz w:val="24"/>
          <w:szCs w:val="24"/>
          <w:lang w:val="en-IE"/>
        </w:rPr>
        <w:t>.</w:t>
      </w:r>
    </w:p>
    <w:p w14:paraId="41BBC1A0" w14:textId="2F5E0C2B" w:rsidR="0020068A" w:rsidRPr="008F4C67" w:rsidRDefault="0020068A" w:rsidP="0020068A">
      <w:pPr>
        <w:jc w:val="both"/>
        <w:rPr>
          <w:rFonts w:ascii="Times New Roman" w:hAnsi="Times New Roman" w:cs="Times New Roman"/>
          <w:noProof/>
          <w:sz w:val="24"/>
          <w:szCs w:val="24"/>
          <w:lang w:val="en-IE"/>
        </w:rPr>
      </w:pPr>
      <w:r w:rsidRPr="008F4C67">
        <w:rPr>
          <w:rFonts w:ascii="Times New Roman" w:hAnsi="Times New Roman" w:cs="Times New Roman"/>
          <w:noProof/>
          <w:sz w:val="24"/>
          <w:szCs w:val="24"/>
          <w:lang w:val="en-IE"/>
        </w:rPr>
        <w:t xml:space="preserve">Judicial </w:t>
      </w:r>
      <w:r w:rsidR="00AF0151" w:rsidRPr="008F4C67">
        <w:rPr>
          <w:rFonts w:ascii="Times New Roman" w:hAnsi="Times New Roman" w:cs="Times New Roman"/>
          <w:noProof/>
          <w:sz w:val="24"/>
          <w:szCs w:val="24"/>
          <w:lang w:val="en-IE"/>
        </w:rPr>
        <w:t>a</w:t>
      </w:r>
      <w:r w:rsidRPr="008F4C67">
        <w:rPr>
          <w:rFonts w:ascii="Times New Roman" w:hAnsi="Times New Roman" w:cs="Times New Roman"/>
          <w:noProof/>
          <w:sz w:val="24"/>
          <w:szCs w:val="24"/>
          <w:lang w:val="en-IE"/>
        </w:rPr>
        <w:t>uthorities</w:t>
      </w:r>
      <w:r w:rsidR="00CD7F17" w:rsidRPr="008F4C67">
        <w:rPr>
          <w:rFonts w:ascii="Times New Roman" w:hAnsi="Times New Roman" w:cs="Times New Roman"/>
          <w:noProof/>
          <w:sz w:val="24"/>
          <w:szCs w:val="24"/>
          <w:lang w:val="en-IE"/>
        </w:rPr>
        <w:t xml:space="preserve"> (</w:t>
      </w:r>
      <w:r w:rsidR="00C15B3B">
        <w:rPr>
          <w:rFonts w:ascii="Times New Roman" w:hAnsi="Times New Roman" w:cs="Times New Roman"/>
          <w:noProof/>
          <w:sz w:val="24"/>
          <w:szCs w:val="24"/>
          <w:lang w:val="en-IE"/>
        </w:rPr>
        <w:t>five</w:t>
      </w:r>
      <w:r w:rsidR="00C15B3B" w:rsidRPr="008F4C67">
        <w:rPr>
          <w:rFonts w:ascii="Times New Roman" w:hAnsi="Times New Roman" w:cs="Times New Roman"/>
          <w:noProof/>
          <w:sz w:val="24"/>
          <w:szCs w:val="24"/>
          <w:lang w:val="en-IE"/>
        </w:rPr>
        <w:t xml:space="preserve"> </w:t>
      </w:r>
      <w:r w:rsidR="00CD7F17" w:rsidRPr="008F4C67">
        <w:rPr>
          <w:rFonts w:ascii="Times New Roman" w:hAnsi="Times New Roman" w:cs="Times New Roman"/>
          <w:noProof/>
          <w:sz w:val="24"/>
          <w:szCs w:val="24"/>
          <w:lang w:val="en-IE"/>
        </w:rPr>
        <w:t xml:space="preserve">out of </w:t>
      </w:r>
      <w:r w:rsidR="00C15B3B">
        <w:rPr>
          <w:rFonts w:ascii="Times New Roman" w:hAnsi="Times New Roman" w:cs="Times New Roman"/>
          <w:noProof/>
          <w:sz w:val="24"/>
          <w:szCs w:val="24"/>
          <w:lang w:val="en-IE"/>
        </w:rPr>
        <w:t>seven</w:t>
      </w:r>
      <w:r w:rsidR="00CD7F17" w:rsidRPr="008F4C67">
        <w:rPr>
          <w:rFonts w:ascii="Times New Roman" w:hAnsi="Times New Roman" w:cs="Times New Roman"/>
          <w:noProof/>
          <w:sz w:val="24"/>
          <w:szCs w:val="24"/>
          <w:lang w:val="en-IE"/>
        </w:rPr>
        <w:t>)</w:t>
      </w:r>
      <w:r w:rsidRPr="008F4C67">
        <w:rPr>
          <w:rFonts w:ascii="Times New Roman" w:hAnsi="Times New Roman" w:cs="Times New Roman"/>
          <w:noProof/>
          <w:sz w:val="24"/>
          <w:szCs w:val="24"/>
          <w:lang w:val="en-IE"/>
        </w:rPr>
        <w:t xml:space="preserve"> </w:t>
      </w:r>
      <w:r w:rsidR="00AF0151" w:rsidRPr="008F4C67">
        <w:rPr>
          <w:rFonts w:ascii="Times New Roman" w:hAnsi="Times New Roman" w:cs="Times New Roman"/>
          <w:noProof/>
          <w:sz w:val="24"/>
          <w:szCs w:val="24"/>
          <w:lang w:val="en-IE"/>
        </w:rPr>
        <w:t>generally consider that cross-border cooperation has improved</w:t>
      </w:r>
      <w:r w:rsidR="00CD7F17" w:rsidRPr="008F4C67">
        <w:rPr>
          <w:rFonts w:ascii="Times New Roman" w:hAnsi="Times New Roman" w:cs="Times New Roman"/>
          <w:noProof/>
          <w:sz w:val="24"/>
          <w:szCs w:val="24"/>
          <w:lang w:val="en-IE"/>
        </w:rPr>
        <w:t xml:space="preserve"> to a moderate to very high extent</w:t>
      </w:r>
      <w:r w:rsidR="00AF0151" w:rsidRPr="008F4C67">
        <w:rPr>
          <w:rFonts w:ascii="Times New Roman" w:hAnsi="Times New Roman" w:cs="Times New Roman"/>
          <w:noProof/>
          <w:sz w:val="24"/>
          <w:szCs w:val="24"/>
          <w:lang w:val="en-IE"/>
        </w:rPr>
        <w:t xml:space="preserve">, </w:t>
      </w:r>
      <w:r w:rsidRPr="008F4C67">
        <w:rPr>
          <w:rFonts w:ascii="Times New Roman" w:hAnsi="Times New Roman" w:cs="Times New Roman"/>
          <w:noProof/>
          <w:sz w:val="24"/>
          <w:szCs w:val="24"/>
          <w:lang w:val="en-IE"/>
        </w:rPr>
        <w:t xml:space="preserve">primarily </w:t>
      </w:r>
      <w:r w:rsidR="00AF0151" w:rsidRPr="008F4C67">
        <w:rPr>
          <w:rFonts w:ascii="Times New Roman" w:hAnsi="Times New Roman" w:cs="Times New Roman"/>
          <w:noProof/>
          <w:sz w:val="24"/>
          <w:szCs w:val="24"/>
          <w:lang w:val="en-IE"/>
        </w:rPr>
        <w:t xml:space="preserve">thanks </w:t>
      </w:r>
      <w:r w:rsidRPr="008F4C67">
        <w:rPr>
          <w:rFonts w:ascii="Times New Roman" w:hAnsi="Times New Roman" w:cs="Times New Roman"/>
          <w:noProof/>
          <w:sz w:val="24"/>
          <w:szCs w:val="24"/>
          <w:lang w:val="en-IE"/>
        </w:rPr>
        <w:t xml:space="preserve">to the clarification of jurisdiction (Article 10), and to </w:t>
      </w:r>
      <w:r w:rsidR="00DF114A" w:rsidRPr="008F4C67">
        <w:rPr>
          <w:rFonts w:ascii="Times New Roman" w:hAnsi="Times New Roman" w:cs="Times New Roman"/>
          <w:noProof/>
          <w:sz w:val="24"/>
          <w:szCs w:val="24"/>
          <w:lang w:val="en-IE"/>
        </w:rPr>
        <w:t>more</w:t>
      </w:r>
      <w:r w:rsidRPr="008F4C67">
        <w:rPr>
          <w:rFonts w:ascii="Times New Roman" w:hAnsi="Times New Roman" w:cs="Times New Roman"/>
          <w:noProof/>
          <w:sz w:val="24"/>
          <w:szCs w:val="24"/>
          <w:lang w:val="en-IE"/>
        </w:rPr>
        <w:t xml:space="preserve"> common criminal law standards, which </w:t>
      </w:r>
      <w:r w:rsidR="00DF114A" w:rsidRPr="008F4C67">
        <w:rPr>
          <w:rFonts w:ascii="Times New Roman" w:hAnsi="Times New Roman" w:cs="Times New Roman"/>
          <w:noProof/>
          <w:sz w:val="24"/>
          <w:szCs w:val="24"/>
          <w:lang w:val="en-IE"/>
        </w:rPr>
        <w:t>facilitate</w:t>
      </w:r>
      <w:r w:rsidRPr="008F4C67">
        <w:rPr>
          <w:rFonts w:ascii="Times New Roman" w:hAnsi="Times New Roman" w:cs="Times New Roman"/>
          <w:noProof/>
          <w:sz w:val="24"/>
          <w:szCs w:val="24"/>
          <w:lang w:val="en-IE"/>
        </w:rPr>
        <w:t xml:space="preserve"> the use of mutual legal assistance instruments.</w:t>
      </w:r>
      <w:r w:rsidR="008F4C67" w:rsidRPr="008F4C67">
        <w:rPr>
          <w:rFonts w:ascii="Times New Roman" w:hAnsi="Times New Roman" w:cs="Times New Roman"/>
          <w:noProof/>
          <w:sz w:val="24"/>
          <w:szCs w:val="24"/>
          <w:lang w:val="en-IE"/>
        </w:rPr>
        <w:t xml:space="preserve"> </w:t>
      </w:r>
    </w:p>
    <w:p w14:paraId="5AFFDFCE" w14:textId="0567B027" w:rsidR="0020068A" w:rsidRPr="00575CC5" w:rsidRDefault="0020068A" w:rsidP="0020068A">
      <w:pPr>
        <w:jc w:val="both"/>
        <w:rPr>
          <w:rFonts w:ascii="Times New Roman" w:hAnsi="Times New Roman" w:cs="Times New Roman"/>
          <w:noProof/>
          <w:sz w:val="24"/>
          <w:szCs w:val="24"/>
          <w:lang w:val="en-IE"/>
        </w:rPr>
      </w:pPr>
      <w:r w:rsidRPr="008F4C67">
        <w:rPr>
          <w:rFonts w:ascii="Times New Roman" w:hAnsi="Times New Roman" w:cs="Times New Roman"/>
          <w:noProof/>
          <w:sz w:val="24"/>
          <w:szCs w:val="24"/>
          <w:lang w:val="en-IE"/>
        </w:rPr>
        <w:t xml:space="preserve">Law </w:t>
      </w:r>
      <w:r w:rsidR="00B0326F" w:rsidRPr="008F4C67">
        <w:rPr>
          <w:rFonts w:ascii="Times New Roman" w:hAnsi="Times New Roman" w:cs="Times New Roman"/>
          <w:noProof/>
          <w:sz w:val="24"/>
          <w:szCs w:val="24"/>
          <w:lang w:val="en-IE"/>
        </w:rPr>
        <w:t xml:space="preserve">enforcement authorities </w:t>
      </w:r>
      <w:r w:rsidRPr="008F4C67">
        <w:rPr>
          <w:rFonts w:ascii="Times New Roman" w:hAnsi="Times New Roman" w:cs="Times New Roman"/>
          <w:noProof/>
          <w:sz w:val="24"/>
          <w:szCs w:val="24"/>
          <w:lang w:val="en-IE"/>
        </w:rPr>
        <w:t>expressed more diverse views</w:t>
      </w:r>
      <w:r w:rsidRPr="00575CC5">
        <w:rPr>
          <w:rFonts w:ascii="Times New Roman" w:hAnsi="Times New Roman" w:cs="Times New Roman"/>
          <w:noProof/>
          <w:sz w:val="24"/>
          <w:szCs w:val="24"/>
          <w:lang w:val="en-IE"/>
        </w:rPr>
        <w:t xml:space="preserve">. </w:t>
      </w:r>
      <w:r w:rsidR="004E3C0D">
        <w:rPr>
          <w:rFonts w:ascii="Times New Roman" w:hAnsi="Times New Roman" w:cs="Times New Roman"/>
          <w:noProof/>
          <w:sz w:val="24"/>
          <w:szCs w:val="24"/>
          <w:lang w:val="en-IE"/>
        </w:rPr>
        <w:t>Only</w:t>
      </w:r>
      <w:r w:rsidR="00524F59">
        <w:rPr>
          <w:rFonts w:ascii="Times New Roman" w:hAnsi="Times New Roman" w:cs="Times New Roman"/>
          <w:noProof/>
          <w:sz w:val="24"/>
          <w:szCs w:val="24"/>
          <w:lang w:val="en-IE"/>
        </w:rPr>
        <w:t xml:space="preserve"> a</w:t>
      </w:r>
      <w:r w:rsidR="004E3C0D">
        <w:rPr>
          <w:rFonts w:ascii="Times New Roman" w:hAnsi="Times New Roman" w:cs="Times New Roman"/>
          <w:noProof/>
          <w:sz w:val="24"/>
          <w:szCs w:val="24"/>
          <w:lang w:val="en-IE"/>
        </w:rPr>
        <w:t xml:space="preserve"> few law enforcement authorities</w:t>
      </w:r>
      <w:r w:rsidR="004E3C0D"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saw little impact on cross-border cooperation</w:t>
      </w:r>
      <w:r w:rsidR="00524F59">
        <w:rPr>
          <w:rFonts w:ascii="Times New Roman" w:hAnsi="Times New Roman" w:cs="Times New Roman"/>
          <w:noProof/>
          <w:sz w:val="24"/>
          <w:szCs w:val="24"/>
          <w:lang w:val="en-IE"/>
        </w:rPr>
        <w:t xml:space="preserve">, while most </w:t>
      </w:r>
      <w:r w:rsidRPr="00575CC5">
        <w:rPr>
          <w:rFonts w:ascii="Times New Roman" w:hAnsi="Times New Roman" w:cs="Times New Roman"/>
          <w:noProof/>
          <w:sz w:val="24"/>
          <w:szCs w:val="24"/>
          <w:lang w:val="en-IE"/>
        </w:rPr>
        <w:t xml:space="preserve">stressed the Directive’s role in fostering a common understanding and facilitating information exchange. </w:t>
      </w:r>
      <w:r w:rsidR="004E3C0D">
        <w:rPr>
          <w:rFonts w:ascii="Times New Roman" w:hAnsi="Times New Roman" w:cs="Times New Roman"/>
          <w:noProof/>
          <w:sz w:val="24"/>
          <w:szCs w:val="24"/>
          <w:lang w:val="en-IE"/>
        </w:rPr>
        <w:t>More than half o</w:t>
      </w:r>
      <w:r w:rsidR="00AD242E">
        <w:rPr>
          <w:rFonts w:ascii="Times New Roman" w:hAnsi="Times New Roman" w:cs="Times New Roman"/>
          <w:noProof/>
          <w:sz w:val="24"/>
          <w:szCs w:val="24"/>
          <w:lang w:val="en-IE"/>
        </w:rPr>
        <w:t>f</w:t>
      </w:r>
      <w:r w:rsidR="004E3C0D">
        <w:rPr>
          <w:rFonts w:ascii="Times New Roman" w:hAnsi="Times New Roman" w:cs="Times New Roman"/>
          <w:noProof/>
          <w:sz w:val="24"/>
          <w:szCs w:val="24"/>
          <w:lang w:val="en-IE"/>
        </w:rPr>
        <w:t xml:space="preserve"> the </w:t>
      </w:r>
      <w:r w:rsidRPr="00575CC5">
        <w:rPr>
          <w:rFonts w:ascii="Times New Roman" w:hAnsi="Times New Roman" w:cs="Times New Roman"/>
          <w:noProof/>
          <w:sz w:val="24"/>
          <w:szCs w:val="24"/>
          <w:lang w:val="en-IE"/>
        </w:rPr>
        <w:t xml:space="preserve">Financial Intelligence Units (FIUs) </w:t>
      </w:r>
      <w:r w:rsidR="00AD242E">
        <w:rPr>
          <w:rFonts w:ascii="Times New Roman" w:hAnsi="Times New Roman" w:cs="Times New Roman"/>
          <w:noProof/>
          <w:sz w:val="24"/>
          <w:szCs w:val="24"/>
          <w:lang w:val="en-IE"/>
        </w:rPr>
        <w:t xml:space="preserve">consulted </w:t>
      </w:r>
      <w:r w:rsidRPr="00575CC5">
        <w:rPr>
          <w:rFonts w:ascii="Times New Roman" w:hAnsi="Times New Roman" w:cs="Times New Roman"/>
          <w:noProof/>
          <w:sz w:val="24"/>
          <w:szCs w:val="24"/>
          <w:lang w:val="en-IE"/>
        </w:rPr>
        <w:t xml:space="preserve">considered the Directive to have a moderate effect, noting that pre-existing international standards already provided a solid basis for cooperation. Asset </w:t>
      </w:r>
      <w:r w:rsidR="00714FFD">
        <w:rPr>
          <w:rFonts w:ascii="Times New Roman" w:hAnsi="Times New Roman" w:cs="Times New Roman"/>
          <w:noProof/>
          <w:sz w:val="24"/>
          <w:szCs w:val="24"/>
          <w:lang w:val="en-IE"/>
        </w:rPr>
        <w:t>r</w:t>
      </w:r>
      <w:r w:rsidR="00714FFD" w:rsidRPr="00575CC5">
        <w:rPr>
          <w:rFonts w:ascii="Times New Roman" w:hAnsi="Times New Roman" w:cs="Times New Roman"/>
          <w:noProof/>
          <w:sz w:val="24"/>
          <w:szCs w:val="24"/>
          <w:lang w:val="en-IE"/>
        </w:rPr>
        <w:t xml:space="preserve">ecovery </w:t>
      </w:r>
      <w:r w:rsidR="00714FFD">
        <w:rPr>
          <w:rFonts w:ascii="Times New Roman" w:hAnsi="Times New Roman" w:cs="Times New Roman"/>
          <w:noProof/>
          <w:sz w:val="24"/>
          <w:szCs w:val="24"/>
          <w:lang w:val="en-IE"/>
        </w:rPr>
        <w:t>o</w:t>
      </w:r>
      <w:r w:rsidR="00714FFD" w:rsidRPr="00575CC5">
        <w:rPr>
          <w:rFonts w:ascii="Times New Roman" w:hAnsi="Times New Roman" w:cs="Times New Roman"/>
          <w:noProof/>
          <w:sz w:val="24"/>
          <w:szCs w:val="24"/>
          <w:lang w:val="en-IE"/>
        </w:rPr>
        <w:t xml:space="preserve">ffices </w:t>
      </w:r>
      <w:r w:rsidRPr="00575CC5">
        <w:rPr>
          <w:rFonts w:ascii="Times New Roman" w:hAnsi="Times New Roman" w:cs="Times New Roman"/>
          <w:noProof/>
          <w:sz w:val="24"/>
          <w:szCs w:val="24"/>
          <w:lang w:val="en-IE"/>
        </w:rPr>
        <w:t xml:space="preserve">reported mixed experiences: </w:t>
      </w:r>
      <w:r w:rsidRPr="00E673E4">
        <w:rPr>
          <w:rFonts w:ascii="Times New Roman" w:hAnsi="Times New Roman" w:cs="Times New Roman"/>
          <w:noProof/>
          <w:sz w:val="24"/>
          <w:szCs w:val="24"/>
          <w:lang w:val="en-IE"/>
        </w:rPr>
        <w:t>some observed increased requests and case numbers, while others stated that their work was largely unaffected.</w:t>
      </w:r>
      <w:r w:rsidR="00A058A4" w:rsidRPr="00E673E4">
        <w:rPr>
          <w:rFonts w:ascii="Times New Roman" w:hAnsi="Times New Roman" w:cs="Times New Roman"/>
          <w:noProof/>
          <w:sz w:val="24"/>
          <w:szCs w:val="24"/>
          <w:lang w:val="en-IE"/>
        </w:rPr>
        <w:t xml:space="preserve"> </w:t>
      </w:r>
      <w:r w:rsidR="008365D2" w:rsidRPr="00E673E4">
        <w:rPr>
          <w:rFonts w:ascii="Times New Roman" w:hAnsi="Times New Roman" w:cs="Times New Roman"/>
          <w:noProof/>
          <w:sz w:val="24"/>
          <w:szCs w:val="24"/>
          <w:lang w:val="en-IE"/>
        </w:rPr>
        <w:t>However, i</w:t>
      </w:r>
      <w:r w:rsidR="009F4042" w:rsidRPr="00E673E4">
        <w:rPr>
          <w:rFonts w:ascii="Times New Roman" w:hAnsi="Times New Roman" w:cs="Times New Roman"/>
          <w:noProof/>
          <w:sz w:val="24"/>
          <w:szCs w:val="24"/>
          <w:lang w:val="en-IE"/>
        </w:rPr>
        <w:t xml:space="preserve">t’s not clear </w:t>
      </w:r>
      <w:r w:rsidR="00E673E4" w:rsidRPr="00E673E4">
        <w:rPr>
          <w:rFonts w:ascii="Times New Roman" w:hAnsi="Times New Roman" w:cs="Times New Roman"/>
          <w:noProof/>
          <w:sz w:val="24"/>
          <w:szCs w:val="24"/>
          <w:lang w:val="en-IE"/>
        </w:rPr>
        <w:t>whether the</w:t>
      </w:r>
      <w:r w:rsidR="009F4042" w:rsidRPr="00E673E4">
        <w:rPr>
          <w:rFonts w:ascii="Times New Roman" w:hAnsi="Times New Roman" w:cs="Times New Roman"/>
          <w:noProof/>
          <w:sz w:val="24"/>
          <w:szCs w:val="24"/>
          <w:lang w:val="en-IE"/>
        </w:rPr>
        <w:t xml:space="preserve"> </w:t>
      </w:r>
      <w:r w:rsidR="00E673E4" w:rsidRPr="00E673E4">
        <w:rPr>
          <w:rFonts w:ascii="Times New Roman" w:hAnsi="Times New Roman" w:cs="Times New Roman"/>
          <w:noProof/>
          <w:sz w:val="24"/>
          <w:szCs w:val="24"/>
          <w:lang w:val="en-IE"/>
        </w:rPr>
        <w:t>implementation of the Directive led to the aforementioned increase</w:t>
      </w:r>
      <w:r w:rsidR="009F4042" w:rsidRPr="00E673E4">
        <w:rPr>
          <w:rFonts w:ascii="Times New Roman" w:hAnsi="Times New Roman" w:cs="Times New Roman"/>
          <w:noProof/>
          <w:sz w:val="24"/>
          <w:szCs w:val="24"/>
          <w:lang w:val="en-IE"/>
        </w:rPr>
        <w:t xml:space="preserve"> in requests</w:t>
      </w:r>
      <w:r w:rsidR="00734CEB" w:rsidRPr="00E673E4">
        <w:rPr>
          <w:rFonts w:ascii="Times New Roman" w:hAnsi="Times New Roman" w:cs="Times New Roman"/>
          <w:noProof/>
          <w:sz w:val="24"/>
          <w:szCs w:val="24"/>
          <w:lang w:val="en-IE"/>
        </w:rPr>
        <w:t>.</w:t>
      </w:r>
    </w:p>
    <w:p w14:paraId="27BCB2C8" w14:textId="19A8887D" w:rsidR="00AD242E" w:rsidRDefault="0020068A" w:rsidP="00A5609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Civil society stakeholders, including NGOs, think tanks, and professional associations, highlighted enhanced information exchange and the creation of cooperation networks among law enforcement authorities. </w:t>
      </w:r>
    </w:p>
    <w:p w14:paraId="3A100C82" w14:textId="76E19E38" w:rsidR="00052970" w:rsidRPr="00575CC5" w:rsidRDefault="00BF7789" w:rsidP="00BF7789">
      <w:pPr>
        <w:jc w:val="center"/>
        <w:rPr>
          <w:rFonts w:ascii="Times New Roman" w:hAnsi="Times New Roman" w:cs="Times New Roman"/>
          <w:noProof/>
          <w:sz w:val="24"/>
          <w:szCs w:val="24"/>
          <w:lang w:val="en-IE"/>
        </w:rPr>
      </w:pPr>
      <w:r w:rsidRPr="00575CC5">
        <w:rPr>
          <w:rFonts w:ascii="Times New Roman" w:hAnsi="Times New Roman" w:cs="Times New Roman"/>
          <w:i/>
          <w:iCs/>
          <w:noProof/>
          <w:sz w:val="24"/>
          <w:szCs w:val="24"/>
        </w:rPr>
        <w:t>Figure </w:t>
      </w:r>
      <w:r w:rsidR="00FA10DC" w:rsidRPr="00575CC5">
        <w:rPr>
          <w:rFonts w:ascii="Times New Roman" w:hAnsi="Times New Roman" w:cs="Times New Roman"/>
          <w:i/>
          <w:iCs/>
          <w:noProof/>
          <w:sz w:val="24"/>
          <w:szCs w:val="24"/>
        </w:rPr>
        <w:t>2</w:t>
      </w:r>
      <w:r w:rsidRPr="00575CC5">
        <w:rPr>
          <w:rFonts w:ascii="Times New Roman" w:hAnsi="Times New Roman" w:cs="Times New Roman"/>
          <w:i/>
          <w:iCs/>
          <w:noProof/>
          <w:sz w:val="24"/>
          <w:szCs w:val="24"/>
        </w:rPr>
        <w:t xml:space="preserve">: Overview of </w:t>
      </w:r>
      <w:r w:rsidR="00714FFD">
        <w:rPr>
          <w:rFonts w:ascii="Times New Roman" w:hAnsi="Times New Roman" w:cs="Times New Roman"/>
          <w:i/>
          <w:iCs/>
          <w:noProof/>
          <w:sz w:val="24"/>
          <w:szCs w:val="24"/>
        </w:rPr>
        <w:t>n</w:t>
      </w:r>
      <w:r w:rsidR="00714FFD" w:rsidRPr="00575CC5">
        <w:rPr>
          <w:rFonts w:ascii="Times New Roman" w:hAnsi="Times New Roman" w:cs="Times New Roman"/>
          <w:i/>
          <w:iCs/>
          <w:noProof/>
          <w:sz w:val="24"/>
          <w:szCs w:val="24"/>
        </w:rPr>
        <w:t xml:space="preserve">ational </w:t>
      </w:r>
      <w:r w:rsidR="00714FFD">
        <w:rPr>
          <w:rFonts w:ascii="Times New Roman" w:hAnsi="Times New Roman" w:cs="Times New Roman"/>
          <w:i/>
          <w:iCs/>
          <w:noProof/>
          <w:sz w:val="24"/>
          <w:szCs w:val="24"/>
        </w:rPr>
        <w:t>a</w:t>
      </w:r>
      <w:r w:rsidRPr="00575CC5">
        <w:rPr>
          <w:rFonts w:ascii="Times New Roman" w:hAnsi="Times New Roman" w:cs="Times New Roman"/>
          <w:i/>
          <w:iCs/>
          <w:noProof/>
          <w:sz w:val="24"/>
          <w:szCs w:val="24"/>
        </w:rPr>
        <w:t xml:space="preserve">uthorities’ responses to </w:t>
      </w:r>
      <w:r w:rsidR="00714FFD">
        <w:rPr>
          <w:rFonts w:ascii="Times New Roman" w:hAnsi="Times New Roman" w:cs="Times New Roman"/>
          <w:i/>
          <w:iCs/>
          <w:noProof/>
          <w:sz w:val="24"/>
          <w:szCs w:val="24"/>
        </w:rPr>
        <w:t>c</w:t>
      </w:r>
      <w:r w:rsidR="00714FFD" w:rsidRPr="00575CC5">
        <w:rPr>
          <w:rFonts w:ascii="Times New Roman" w:hAnsi="Times New Roman" w:cs="Times New Roman"/>
          <w:i/>
          <w:iCs/>
          <w:noProof/>
          <w:sz w:val="24"/>
          <w:szCs w:val="24"/>
        </w:rPr>
        <w:t>ross</w:t>
      </w:r>
      <w:r w:rsidRPr="00575CC5">
        <w:rPr>
          <w:rFonts w:ascii="Times New Roman" w:hAnsi="Times New Roman" w:cs="Times New Roman"/>
          <w:i/>
          <w:iCs/>
          <w:noProof/>
          <w:sz w:val="24"/>
          <w:szCs w:val="24"/>
        </w:rPr>
        <w:t>-</w:t>
      </w:r>
      <w:r w:rsidR="00714FFD">
        <w:rPr>
          <w:rFonts w:ascii="Times New Roman" w:hAnsi="Times New Roman" w:cs="Times New Roman"/>
          <w:i/>
          <w:iCs/>
          <w:noProof/>
          <w:sz w:val="24"/>
          <w:szCs w:val="24"/>
        </w:rPr>
        <w:t>b</w:t>
      </w:r>
      <w:r w:rsidR="00714FFD" w:rsidRPr="00575CC5">
        <w:rPr>
          <w:rFonts w:ascii="Times New Roman" w:hAnsi="Times New Roman" w:cs="Times New Roman"/>
          <w:i/>
          <w:iCs/>
          <w:noProof/>
          <w:sz w:val="24"/>
          <w:szCs w:val="24"/>
        </w:rPr>
        <w:t xml:space="preserve">order </w:t>
      </w:r>
      <w:r w:rsidR="00714FFD">
        <w:rPr>
          <w:rFonts w:ascii="Times New Roman" w:hAnsi="Times New Roman" w:cs="Times New Roman"/>
          <w:i/>
          <w:iCs/>
          <w:noProof/>
          <w:sz w:val="24"/>
          <w:szCs w:val="24"/>
        </w:rPr>
        <w:t>c</w:t>
      </w:r>
      <w:r w:rsidR="00714FFD" w:rsidRPr="00575CC5">
        <w:rPr>
          <w:rFonts w:ascii="Times New Roman" w:hAnsi="Times New Roman" w:cs="Times New Roman"/>
          <w:i/>
          <w:iCs/>
          <w:noProof/>
          <w:sz w:val="24"/>
          <w:szCs w:val="24"/>
        </w:rPr>
        <w:t xml:space="preserve">ooperation </w:t>
      </w:r>
      <w:r w:rsidR="00714FFD">
        <w:rPr>
          <w:rFonts w:ascii="Times New Roman" w:hAnsi="Times New Roman" w:cs="Times New Roman"/>
          <w:i/>
          <w:iCs/>
          <w:noProof/>
          <w:sz w:val="24"/>
          <w:szCs w:val="24"/>
        </w:rPr>
        <w:t>f</w:t>
      </w:r>
      <w:r w:rsidR="00714FFD" w:rsidRPr="00575CC5">
        <w:rPr>
          <w:rFonts w:ascii="Times New Roman" w:hAnsi="Times New Roman" w:cs="Times New Roman"/>
          <w:i/>
          <w:iCs/>
          <w:noProof/>
          <w:sz w:val="24"/>
          <w:szCs w:val="24"/>
        </w:rPr>
        <w:t xml:space="preserve">acilitation </w:t>
      </w:r>
      <w:r w:rsidRPr="00575CC5">
        <w:rPr>
          <w:rFonts w:ascii="Times New Roman" w:hAnsi="Times New Roman" w:cs="Times New Roman"/>
          <w:i/>
          <w:iCs/>
          <w:noProof/>
          <w:sz w:val="24"/>
          <w:szCs w:val="24"/>
        </w:rPr>
        <w:t>under Directive (EU) 2018/1673</w:t>
      </w:r>
    </w:p>
    <w:p w14:paraId="15A894C8" w14:textId="618E0F9F" w:rsidR="0020068A" w:rsidRPr="00575CC5" w:rsidRDefault="0020068A" w:rsidP="0020068A">
      <w:pPr>
        <w:rPr>
          <w:rFonts w:ascii="Times New Roman" w:hAnsi="Times New Roman" w:cs="Times New Roman"/>
          <w:noProof/>
          <w:sz w:val="24"/>
          <w:szCs w:val="24"/>
          <w:lang w:val="en-IE"/>
        </w:rPr>
      </w:pPr>
      <w:r w:rsidRPr="00575CC5">
        <w:rPr>
          <w:rFonts w:ascii="Times New Roman" w:eastAsia="Calibri Light" w:hAnsi="Times New Roman" w:cs="Times New Roman"/>
          <w:noProof/>
          <w:sz w:val="24"/>
          <w:szCs w:val="24"/>
          <w:lang w:eastAsia="en-GB"/>
        </w:rPr>
        <w:drawing>
          <wp:inline distT="0" distB="0" distL="0" distR="0" wp14:anchorId="21FA3642" wp14:editId="4A98E80A">
            <wp:extent cx="5542671" cy="2862775"/>
            <wp:effectExtent l="0" t="0" r="1270" b="1397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9DA24A8" w14:textId="7A458914" w:rsidR="00933C10" w:rsidRDefault="00D96CF9" w:rsidP="00172619">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Regarding the</w:t>
      </w:r>
      <w:r w:rsidR="002B7EF4">
        <w:rPr>
          <w:rFonts w:ascii="Times New Roman" w:hAnsi="Times New Roman" w:cs="Times New Roman"/>
          <w:noProof/>
          <w:sz w:val="24"/>
          <w:szCs w:val="24"/>
          <w:lang w:val="en-IE"/>
        </w:rPr>
        <w:t xml:space="preserve"> evaluation question about</w:t>
      </w:r>
      <w:r>
        <w:rPr>
          <w:rFonts w:ascii="Times New Roman" w:hAnsi="Times New Roman" w:cs="Times New Roman"/>
          <w:noProof/>
          <w:sz w:val="24"/>
          <w:szCs w:val="24"/>
          <w:lang w:val="en-IE"/>
        </w:rPr>
        <w:t xml:space="preserve"> the </w:t>
      </w:r>
      <w:r w:rsidRPr="00D96CF9">
        <w:rPr>
          <w:rFonts w:ascii="Times New Roman" w:hAnsi="Times New Roman" w:cs="Times New Roman"/>
          <w:noProof/>
          <w:sz w:val="24"/>
          <w:szCs w:val="24"/>
          <w:lang w:val="en-IE"/>
        </w:rPr>
        <w:t xml:space="preserve">extent </w:t>
      </w:r>
      <w:r>
        <w:rPr>
          <w:rFonts w:ascii="Times New Roman" w:hAnsi="Times New Roman" w:cs="Times New Roman"/>
          <w:noProof/>
          <w:sz w:val="24"/>
          <w:szCs w:val="24"/>
          <w:lang w:val="en-IE"/>
        </w:rPr>
        <w:t>to which</w:t>
      </w:r>
      <w:r w:rsidRPr="00D96CF9">
        <w:rPr>
          <w:rFonts w:ascii="Times New Roman" w:hAnsi="Times New Roman" w:cs="Times New Roman"/>
          <w:noProof/>
          <w:sz w:val="24"/>
          <w:szCs w:val="24"/>
          <w:lang w:val="en-IE"/>
        </w:rPr>
        <w:t xml:space="preserve"> </w:t>
      </w:r>
      <w:r w:rsidR="005813B3">
        <w:rPr>
          <w:rFonts w:ascii="Times New Roman" w:hAnsi="Times New Roman" w:cs="Times New Roman"/>
          <w:noProof/>
          <w:sz w:val="24"/>
          <w:szCs w:val="24"/>
          <w:lang w:val="en-IE"/>
        </w:rPr>
        <w:t xml:space="preserve">the </w:t>
      </w:r>
      <w:r w:rsidRPr="00D96CF9">
        <w:rPr>
          <w:rFonts w:ascii="Times New Roman" w:hAnsi="Times New Roman" w:cs="Times New Roman"/>
          <w:noProof/>
          <w:sz w:val="24"/>
          <w:szCs w:val="24"/>
          <w:lang w:val="en-IE"/>
        </w:rPr>
        <w:t>competent authorities of the Member States cooperate with each other in criminal proceedings regarding money laundering</w:t>
      </w:r>
      <w:r>
        <w:rPr>
          <w:rFonts w:ascii="Times New Roman" w:hAnsi="Times New Roman" w:cs="Times New Roman"/>
          <w:noProof/>
          <w:sz w:val="24"/>
          <w:szCs w:val="24"/>
          <w:lang w:val="en-IE"/>
        </w:rPr>
        <w:t xml:space="preserve">, </w:t>
      </w:r>
      <w:r w:rsidR="00D96AF6">
        <w:rPr>
          <w:rFonts w:ascii="Times New Roman" w:hAnsi="Times New Roman" w:cs="Times New Roman"/>
          <w:noProof/>
          <w:sz w:val="24"/>
          <w:szCs w:val="24"/>
          <w:lang w:val="en-IE"/>
        </w:rPr>
        <w:t>a</w:t>
      </w:r>
      <w:r w:rsidR="00A238BD">
        <w:rPr>
          <w:rFonts w:ascii="Times New Roman" w:hAnsi="Times New Roman" w:cs="Times New Roman"/>
          <w:noProof/>
          <w:sz w:val="24"/>
          <w:szCs w:val="24"/>
          <w:lang w:val="en-IE"/>
        </w:rPr>
        <w:t xml:space="preserve"> </w:t>
      </w:r>
      <w:r w:rsidR="00CD32D6">
        <w:rPr>
          <w:rFonts w:ascii="Times New Roman" w:hAnsi="Times New Roman" w:cs="Times New Roman"/>
          <w:noProof/>
          <w:sz w:val="24"/>
          <w:szCs w:val="24"/>
          <w:lang w:val="en-IE"/>
        </w:rPr>
        <w:t xml:space="preserve">2026 </w:t>
      </w:r>
      <w:r w:rsidR="00D96AF6">
        <w:rPr>
          <w:rFonts w:ascii="Times New Roman" w:hAnsi="Times New Roman" w:cs="Times New Roman"/>
          <w:noProof/>
          <w:sz w:val="24"/>
          <w:szCs w:val="24"/>
          <w:lang w:val="en-IE"/>
        </w:rPr>
        <w:t>analysis by Eurojust</w:t>
      </w:r>
      <w:r w:rsidR="00392DE5" w:rsidRPr="00F02686">
        <w:rPr>
          <w:rStyle w:val="FootnoteReference"/>
          <w:rFonts w:ascii="Times New Roman" w:hAnsi="Times New Roman" w:cs="Times New Roman"/>
          <w:iCs/>
          <w:noProof/>
          <w:szCs w:val="24"/>
        </w:rPr>
        <w:footnoteReference w:id="50"/>
      </w:r>
      <w:r w:rsidR="00D96AF6">
        <w:rPr>
          <w:rFonts w:ascii="Times New Roman" w:hAnsi="Times New Roman" w:cs="Times New Roman"/>
          <w:noProof/>
          <w:sz w:val="24"/>
          <w:szCs w:val="24"/>
          <w:lang w:val="en-IE"/>
        </w:rPr>
        <w:t xml:space="preserve"> shows that </w:t>
      </w:r>
      <w:r w:rsidR="00A238BD">
        <w:rPr>
          <w:rFonts w:ascii="Times New Roman" w:hAnsi="Times New Roman" w:cs="Times New Roman"/>
          <w:noProof/>
          <w:sz w:val="24"/>
          <w:szCs w:val="24"/>
          <w:lang w:val="en-IE"/>
        </w:rPr>
        <w:t>the number of money laundering cases</w:t>
      </w:r>
      <w:r w:rsidR="002B7EF4">
        <w:rPr>
          <w:rFonts w:ascii="Times New Roman" w:hAnsi="Times New Roman" w:cs="Times New Roman"/>
          <w:noProof/>
          <w:sz w:val="24"/>
          <w:szCs w:val="24"/>
          <w:lang w:val="en-IE"/>
        </w:rPr>
        <w:t xml:space="preserve"> </w:t>
      </w:r>
      <w:r w:rsidR="00123244">
        <w:rPr>
          <w:rFonts w:ascii="Times New Roman" w:hAnsi="Times New Roman" w:cs="Times New Roman"/>
          <w:noProof/>
          <w:sz w:val="24"/>
          <w:szCs w:val="24"/>
          <w:lang w:val="en-IE"/>
        </w:rPr>
        <w:t>has</w:t>
      </w:r>
      <w:r w:rsidR="00E8743E">
        <w:rPr>
          <w:rFonts w:ascii="Times New Roman" w:hAnsi="Times New Roman" w:cs="Times New Roman"/>
          <w:noProof/>
          <w:sz w:val="24"/>
          <w:szCs w:val="24"/>
          <w:lang w:val="en-IE"/>
        </w:rPr>
        <w:t xml:space="preserve"> </w:t>
      </w:r>
      <w:r w:rsidR="0035584C">
        <w:rPr>
          <w:rFonts w:ascii="Times New Roman" w:hAnsi="Times New Roman" w:cs="Times New Roman"/>
          <w:noProof/>
          <w:sz w:val="24"/>
          <w:szCs w:val="24"/>
          <w:lang w:val="en-IE"/>
        </w:rPr>
        <w:t xml:space="preserve">steadily </w:t>
      </w:r>
      <w:r w:rsidR="00123244">
        <w:rPr>
          <w:rFonts w:ascii="Times New Roman" w:hAnsi="Times New Roman" w:cs="Times New Roman"/>
          <w:noProof/>
          <w:sz w:val="24"/>
          <w:szCs w:val="24"/>
          <w:lang w:val="en-IE"/>
        </w:rPr>
        <w:t xml:space="preserve">increased </w:t>
      </w:r>
      <w:r w:rsidR="00E8743E">
        <w:rPr>
          <w:rFonts w:ascii="Times New Roman" w:hAnsi="Times New Roman" w:cs="Times New Roman"/>
          <w:noProof/>
          <w:sz w:val="24"/>
          <w:szCs w:val="24"/>
          <w:lang w:val="en-IE"/>
        </w:rPr>
        <w:t>since the</w:t>
      </w:r>
      <w:r w:rsidR="00F5374B">
        <w:rPr>
          <w:rFonts w:ascii="Times New Roman" w:hAnsi="Times New Roman" w:cs="Times New Roman"/>
          <w:noProof/>
          <w:sz w:val="24"/>
          <w:szCs w:val="24"/>
          <w:lang w:val="en-IE"/>
        </w:rPr>
        <w:t xml:space="preserve"> </w:t>
      </w:r>
      <w:r w:rsidR="009E0EE8">
        <w:rPr>
          <w:rFonts w:ascii="Times New Roman" w:hAnsi="Times New Roman" w:cs="Times New Roman"/>
          <w:noProof/>
          <w:sz w:val="24"/>
          <w:szCs w:val="24"/>
          <w:lang w:val="en-IE"/>
        </w:rPr>
        <w:t>adoption of the Directive</w:t>
      </w:r>
      <w:r w:rsidR="00211909">
        <w:rPr>
          <w:rFonts w:ascii="Times New Roman" w:hAnsi="Times New Roman" w:cs="Times New Roman"/>
          <w:noProof/>
          <w:sz w:val="24"/>
          <w:szCs w:val="24"/>
          <w:lang w:val="en-IE"/>
        </w:rPr>
        <w:t xml:space="preserve">. </w:t>
      </w:r>
    </w:p>
    <w:p w14:paraId="42C9DB7E" w14:textId="77777777" w:rsidR="00383A20" w:rsidRDefault="00383A20" w:rsidP="00172619">
      <w:pPr>
        <w:jc w:val="both"/>
        <w:rPr>
          <w:rFonts w:ascii="Times New Roman" w:hAnsi="Times New Roman" w:cs="Times New Roman"/>
          <w:noProof/>
          <w:sz w:val="24"/>
          <w:szCs w:val="24"/>
          <w:lang w:val="en-IE"/>
        </w:rPr>
      </w:pPr>
    </w:p>
    <w:p w14:paraId="624874E4" w14:textId="77777777" w:rsidR="00383A20" w:rsidRDefault="00383A20" w:rsidP="00172619">
      <w:pPr>
        <w:jc w:val="both"/>
        <w:rPr>
          <w:rFonts w:ascii="Times New Roman" w:hAnsi="Times New Roman" w:cs="Times New Roman"/>
          <w:i/>
          <w:iCs/>
          <w:noProof/>
          <w:sz w:val="24"/>
          <w:szCs w:val="24"/>
        </w:rPr>
      </w:pPr>
    </w:p>
    <w:p w14:paraId="5C7E55D1" w14:textId="77777777" w:rsidR="00532DB6" w:rsidRDefault="00532DB6" w:rsidP="00172619">
      <w:pPr>
        <w:jc w:val="both"/>
        <w:rPr>
          <w:rFonts w:ascii="Times New Roman" w:hAnsi="Times New Roman" w:cs="Times New Roman"/>
          <w:i/>
          <w:iCs/>
          <w:noProof/>
          <w:sz w:val="24"/>
          <w:szCs w:val="24"/>
        </w:rPr>
      </w:pPr>
    </w:p>
    <w:p w14:paraId="3052B6E8" w14:textId="58A8BD33" w:rsidR="008820B7" w:rsidRDefault="00933C10" w:rsidP="00972749">
      <w:pPr>
        <w:jc w:val="center"/>
        <w:rPr>
          <w:rFonts w:ascii="Times New Roman" w:hAnsi="Times New Roman" w:cs="Times New Roman"/>
          <w:noProof/>
          <w:sz w:val="24"/>
          <w:szCs w:val="24"/>
          <w:lang w:val="en-IE"/>
        </w:rPr>
      </w:pPr>
      <w:bookmarkStart w:id="35" w:name="_Hlk217375586"/>
      <w:r>
        <w:rPr>
          <w:rFonts w:ascii="Times New Roman" w:hAnsi="Times New Roman" w:cs="Times New Roman"/>
          <w:i/>
          <w:iCs/>
          <w:noProof/>
          <w:sz w:val="24"/>
          <w:szCs w:val="24"/>
        </w:rPr>
        <w:t xml:space="preserve">Figure 3: </w:t>
      </w:r>
      <w:r w:rsidRPr="00933C10">
        <w:rPr>
          <w:rFonts w:ascii="Times New Roman" w:hAnsi="Times New Roman" w:cs="Times New Roman"/>
          <w:i/>
          <w:iCs/>
          <w:noProof/>
          <w:sz w:val="24"/>
          <w:szCs w:val="24"/>
        </w:rPr>
        <w:t>Number of money laundering cases registered at Eurojust since 2016</w:t>
      </w:r>
      <w:bookmarkEnd w:id="35"/>
    </w:p>
    <w:p w14:paraId="0617EA63" w14:textId="0C7C253E" w:rsidR="008820B7" w:rsidRDefault="008820B7" w:rsidP="009A39FA">
      <w:pPr>
        <w:jc w:val="center"/>
        <w:rPr>
          <w:rFonts w:ascii="Times New Roman" w:hAnsi="Times New Roman" w:cs="Times New Roman"/>
          <w:noProof/>
          <w:sz w:val="24"/>
          <w:szCs w:val="24"/>
          <w:lang w:val="en-IE"/>
        </w:rPr>
      </w:pPr>
      <w:r>
        <w:rPr>
          <w:noProof/>
          <w:lang w:eastAsia="en-GB"/>
        </w:rPr>
        <w:drawing>
          <wp:inline distT="0" distB="0" distL="0" distR="0" wp14:anchorId="11AD6BB5" wp14:editId="56E2E31A">
            <wp:extent cx="5486400" cy="3200400"/>
            <wp:effectExtent l="0" t="0" r="0" b="0"/>
            <wp:docPr id="209471643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FB456ED" w14:textId="10F9B417" w:rsidR="0020068A" w:rsidRPr="00575CC5" w:rsidRDefault="0020068A" w:rsidP="0016103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On international cooperation beyond the EU, the impact was less </w:t>
      </w:r>
      <w:r w:rsidR="00721B31" w:rsidRPr="00575CC5">
        <w:rPr>
          <w:rFonts w:ascii="Times New Roman" w:hAnsi="Times New Roman" w:cs="Times New Roman"/>
          <w:noProof/>
          <w:sz w:val="24"/>
          <w:szCs w:val="24"/>
          <w:lang w:val="en-IE"/>
        </w:rPr>
        <w:t>evident,</w:t>
      </w:r>
      <w:r w:rsidRPr="00575CC5">
        <w:rPr>
          <w:rFonts w:ascii="Times New Roman" w:hAnsi="Times New Roman" w:cs="Times New Roman"/>
          <w:noProof/>
          <w:sz w:val="24"/>
          <w:szCs w:val="24"/>
          <w:lang w:val="en-IE"/>
        </w:rPr>
        <w:t xml:space="preserve"> </w:t>
      </w:r>
      <w:r w:rsidR="00400A67">
        <w:rPr>
          <w:rFonts w:ascii="Times New Roman" w:hAnsi="Times New Roman" w:cs="Times New Roman"/>
          <w:noProof/>
          <w:sz w:val="24"/>
          <w:szCs w:val="24"/>
          <w:lang w:val="en-IE"/>
        </w:rPr>
        <w:t xml:space="preserve">as suggested by </w:t>
      </w:r>
      <w:r w:rsidRPr="00575CC5">
        <w:rPr>
          <w:rFonts w:ascii="Times New Roman" w:hAnsi="Times New Roman" w:cs="Times New Roman"/>
          <w:noProof/>
          <w:sz w:val="24"/>
          <w:szCs w:val="24"/>
          <w:lang w:val="en-IE"/>
        </w:rPr>
        <w:t>stakeholders’ opinions</w:t>
      </w:r>
      <w:r w:rsidR="00400A67">
        <w:rPr>
          <w:rFonts w:ascii="Times New Roman" w:hAnsi="Times New Roman" w:cs="Times New Roman"/>
          <w:noProof/>
          <w:sz w:val="24"/>
          <w:szCs w:val="24"/>
          <w:lang w:val="en-IE"/>
        </w:rPr>
        <w:t>, which</w:t>
      </w:r>
      <w:r w:rsidRPr="00575CC5">
        <w:rPr>
          <w:rFonts w:ascii="Times New Roman" w:hAnsi="Times New Roman" w:cs="Times New Roman"/>
          <w:noProof/>
          <w:sz w:val="24"/>
          <w:szCs w:val="24"/>
          <w:lang w:val="en-IE"/>
        </w:rPr>
        <w:t xml:space="preserve"> diverged within each group</w:t>
      </w:r>
      <w:r w:rsidRPr="00575CC5">
        <w:rPr>
          <w:rFonts w:ascii="Times New Roman" w:hAnsi="Times New Roman" w:cs="Times New Roman"/>
          <w:noProof/>
          <w:sz w:val="24"/>
          <w:szCs w:val="24"/>
          <w:vertAlign w:val="superscript"/>
          <w:lang w:val="en-IE"/>
        </w:rPr>
        <w:footnoteReference w:id="51"/>
      </w:r>
      <w:r w:rsidRPr="00575CC5">
        <w:rPr>
          <w:rFonts w:ascii="Times New Roman" w:hAnsi="Times New Roman" w:cs="Times New Roman"/>
          <w:noProof/>
          <w:sz w:val="24"/>
          <w:szCs w:val="24"/>
          <w:lang w:val="en-IE"/>
        </w:rPr>
        <w:t xml:space="preserve">. Judicial </w:t>
      </w:r>
      <w:r w:rsidR="0081442E" w:rsidRPr="00575CC5">
        <w:rPr>
          <w:rFonts w:ascii="Times New Roman" w:hAnsi="Times New Roman" w:cs="Times New Roman"/>
          <w:noProof/>
          <w:sz w:val="24"/>
          <w:szCs w:val="24"/>
          <w:lang w:val="en-IE"/>
        </w:rPr>
        <w:t>a</w:t>
      </w:r>
      <w:r w:rsidRPr="00575CC5">
        <w:rPr>
          <w:rFonts w:ascii="Times New Roman" w:hAnsi="Times New Roman" w:cs="Times New Roman"/>
          <w:noProof/>
          <w:sz w:val="24"/>
          <w:szCs w:val="24"/>
          <w:lang w:val="en-IE"/>
        </w:rPr>
        <w:t>uthorities noted that most facilitation was confined to intra-EU cooperation</w:t>
      </w:r>
      <w:r w:rsidR="002B4001">
        <w:rPr>
          <w:rFonts w:ascii="Times New Roman" w:hAnsi="Times New Roman" w:cs="Times New Roman"/>
          <w:noProof/>
          <w:sz w:val="24"/>
          <w:szCs w:val="24"/>
          <w:lang w:val="en-IE"/>
        </w:rPr>
        <w:t xml:space="preserve"> and </w:t>
      </w:r>
      <w:r w:rsidR="005813B3">
        <w:rPr>
          <w:rFonts w:ascii="Times New Roman" w:hAnsi="Times New Roman" w:cs="Times New Roman"/>
          <w:noProof/>
          <w:sz w:val="24"/>
          <w:szCs w:val="24"/>
          <w:lang w:val="en-IE"/>
        </w:rPr>
        <w:t xml:space="preserve">that they </w:t>
      </w:r>
      <w:r w:rsidR="002B4001">
        <w:rPr>
          <w:rFonts w:ascii="Times New Roman" w:hAnsi="Times New Roman" w:cs="Times New Roman"/>
          <w:noProof/>
          <w:sz w:val="24"/>
          <w:szCs w:val="24"/>
          <w:lang w:val="en-IE"/>
        </w:rPr>
        <w:t>did not see a high</w:t>
      </w:r>
      <w:r w:rsidR="003E5A36">
        <w:rPr>
          <w:rFonts w:ascii="Times New Roman" w:hAnsi="Times New Roman" w:cs="Times New Roman"/>
          <w:noProof/>
          <w:sz w:val="24"/>
          <w:szCs w:val="24"/>
          <w:lang w:val="en-IE"/>
        </w:rPr>
        <w:t xml:space="preserve"> degree of</w:t>
      </w:r>
      <w:r w:rsidR="002B4001">
        <w:rPr>
          <w:rFonts w:ascii="Times New Roman" w:hAnsi="Times New Roman" w:cs="Times New Roman"/>
          <w:noProof/>
          <w:sz w:val="24"/>
          <w:szCs w:val="24"/>
          <w:lang w:val="en-IE"/>
        </w:rPr>
        <w:t xml:space="preserve"> facilitation </w:t>
      </w:r>
      <w:r w:rsidR="003E5A36">
        <w:rPr>
          <w:rFonts w:ascii="Times New Roman" w:hAnsi="Times New Roman" w:cs="Times New Roman"/>
          <w:noProof/>
          <w:sz w:val="24"/>
          <w:szCs w:val="24"/>
          <w:lang w:val="en-IE"/>
        </w:rPr>
        <w:t>at</w:t>
      </w:r>
      <w:r w:rsidR="002B4001">
        <w:rPr>
          <w:rFonts w:ascii="Times New Roman" w:hAnsi="Times New Roman" w:cs="Times New Roman"/>
          <w:noProof/>
          <w:sz w:val="24"/>
          <w:szCs w:val="24"/>
          <w:lang w:val="en-IE"/>
        </w:rPr>
        <w:t xml:space="preserve"> international level</w:t>
      </w:r>
      <w:r w:rsidR="003E5A36">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w:t>
      </w:r>
      <w:r w:rsidR="003E5A36">
        <w:rPr>
          <w:rFonts w:ascii="Times New Roman" w:hAnsi="Times New Roman" w:cs="Times New Roman"/>
          <w:noProof/>
          <w:sz w:val="24"/>
          <w:szCs w:val="24"/>
          <w:lang w:val="en-IE"/>
        </w:rPr>
        <w:t>Mean</w:t>
      </w:r>
      <w:r w:rsidR="0081442E" w:rsidRPr="00575CC5">
        <w:rPr>
          <w:rFonts w:ascii="Times New Roman" w:hAnsi="Times New Roman" w:cs="Times New Roman"/>
          <w:noProof/>
          <w:sz w:val="24"/>
          <w:szCs w:val="24"/>
          <w:lang w:val="en-IE"/>
        </w:rPr>
        <w:t>while</w:t>
      </w:r>
      <w:r w:rsidRPr="00575CC5">
        <w:rPr>
          <w:rFonts w:ascii="Times New Roman" w:hAnsi="Times New Roman" w:cs="Times New Roman"/>
          <w:noProof/>
          <w:sz w:val="24"/>
          <w:szCs w:val="24"/>
          <w:lang w:val="en-IE"/>
        </w:rPr>
        <w:t xml:space="preserve"> </w:t>
      </w:r>
      <w:r w:rsidR="00FC09A0">
        <w:rPr>
          <w:rFonts w:ascii="Times New Roman" w:hAnsi="Times New Roman" w:cs="Times New Roman"/>
          <w:noProof/>
          <w:sz w:val="24"/>
          <w:szCs w:val="24"/>
          <w:lang w:val="en-IE"/>
        </w:rPr>
        <w:t>l</w:t>
      </w:r>
      <w:r w:rsidRPr="00575CC5">
        <w:rPr>
          <w:rFonts w:ascii="Times New Roman" w:hAnsi="Times New Roman" w:cs="Times New Roman"/>
          <w:noProof/>
          <w:sz w:val="24"/>
          <w:szCs w:val="24"/>
          <w:lang w:val="en-IE"/>
        </w:rPr>
        <w:t xml:space="preserve">aw </w:t>
      </w:r>
      <w:r w:rsidR="00FC09A0">
        <w:rPr>
          <w:rFonts w:ascii="Times New Roman" w:hAnsi="Times New Roman" w:cs="Times New Roman"/>
          <w:noProof/>
          <w:sz w:val="24"/>
          <w:szCs w:val="24"/>
          <w:lang w:val="en-IE"/>
        </w:rPr>
        <w:t>e</w:t>
      </w:r>
      <w:r w:rsidRPr="00575CC5">
        <w:rPr>
          <w:rFonts w:ascii="Times New Roman" w:hAnsi="Times New Roman" w:cs="Times New Roman"/>
          <w:noProof/>
          <w:sz w:val="24"/>
          <w:szCs w:val="24"/>
          <w:lang w:val="en-IE"/>
        </w:rPr>
        <w:t xml:space="preserve">nforcement </w:t>
      </w:r>
      <w:r w:rsidR="00FC09A0">
        <w:rPr>
          <w:rFonts w:ascii="Times New Roman" w:hAnsi="Times New Roman" w:cs="Times New Roman"/>
          <w:noProof/>
          <w:sz w:val="24"/>
          <w:szCs w:val="24"/>
          <w:lang w:val="en-IE"/>
        </w:rPr>
        <w:t>a</w:t>
      </w:r>
      <w:r w:rsidRPr="00575CC5">
        <w:rPr>
          <w:rFonts w:ascii="Times New Roman" w:hAnsi="Times New Roman" w:cs="Times New Roman"/>
          <w:noProof/>
          <w:sz w:val="24"/>
          <w:szCs w:val="24"/>
          <w:lang w:val="en-IE"/>
        </w:rPr>
        <w:t xml:space="preserve">uthorities </w:t>
      </w:r>
      <w:r w:rsidR="0081442E" w:rsidRPr="00575CC5">
        <w:rPr>
          <w:rFonts w:ascii="Times New Roman" w:hAnsi="Times New Roman" w:cs="Times New Roman"/>
          <w:noProof/>
          <w:sz w:val="24"/>
          <w:szCs w:val="24"/>
          <w:lang w:val="en-IE"/>
        </w:rPr>
        <w:t xml:space="preserve">generally </w:t>
      </w:r>
      <w:r w:rsidR="00FC09A0">
        <w:rPr>
          <w:rFonts w:ascii="Times New Roman" w:hAnsi="Times New Roman" w:cs="Times New Roman"/>
          <w:noProof/>
          <w:sz w:val="24"/>
          <w:szCs w:val="24"/>
          <w:lang w:val="en-IE"/>
        </w:rPr>
        <w:t>took the view</w:t>
      </w:r>
      <w:r w:rsidR="00FC09A0"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that harmonisation within the EU contributes indirectly to global cooperation</w:t>
      </w:r>
      <w:r w:rsidR="00FC09A0">
        <w:rPr>
          <w:rFonts w:ascii="Times New Roman" w:hAnsi="Times New Roman" w:cs="Times New Roman"/>
          <w:noProof/>
          <w:sz w:val="24"/>
          <w:szCs w:val="24"/>
          <w:lang w:val="en-IE"/>
        </w:rPr>
        <w:t>, with</w:t>
      </w:r>
      <w:r w:rsidR="00CD7F17">
        <w:rPr>
          <w:rFonts w:ascii="Times New Roman" w:hAnsi="Times New Roman" w:cs="Times New Roman"/>
          <w:noProof/>
          <w:sz w:val="24"/>
          <w:szCs w:val="24"/>
          <w:lang w:val="en-IE"/>
        </w:rPr>
        <w:t xml:space="preserve"> 10 out of 13 </w:t>
      </w:r>
      <w:r w:rsidR="00FC09A0">
        <w:rPr>
          <w:rFonts w:ascii="Times New Roman" w:hAnsi="Times New Roman" w:cs="Times New Roman"/>
          <w:noProof/>
          <w:sz w:val="24"/>
          <w:szCs w:val="24"/>
          <w:lang w:val="en-IE"/>
        </w:rPr>
        <w:t>observing</w:t>
      </w:r>
      <w:r w:rsidR="00CD7F17">
        <w:rPr>
          <w:rFonts w:ascii="Times New Roman" w:hAnsi="Times New Roman" w:cs="Times New Roman"/>
          <w:noProof/>
          <w:sz w:val="24"/>
          <w:szCs w:val="24"/>
          <w:lang w:val="en-IE"/>
        </w:rPr>
        <w:t xml:space="preserve"> moderate or high facilitation of international cooperation</w:t>
      </w:r>
      <w:r w:rsidRPr="00575CC5">
        <w:rPr>
          <w:rFonts w:ascii="Times New Roman" w:hAnsi="Times New Roman" w:cs="Times New Roman"/>
          <w:noProof/>
          <w:sz w:val="24"/>
          <w:szCs w:val="24"/>
          <w:lang w:val="en-IE"/>
        </w:rPr>
        <w:t xml:space="preserve">, though concrete effects outside the </w:t>
      </w:r>
      <w:r w:rsidR="00FC09A0">
        <w:rPr>
          <w:rFonts w:ascii="Times New Roman" w:hAnsi="Times New Roman" w:cs="Times New Roman"/>
          <w:noProof/>
          <w:sz w:val="24"/>
          <w:szCs w:val="24"/>
          <w:lang w:val="en-IE"/>
        </w:rPr>
        <w:t>EU</w:t>
      </w:r>
      <w:r w:rsidR="00FC09A0"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remain</w:t>
      </w:r>
      <w:r w:rsidR="00FC09A0">
        <w:rPr>
          <w:rFonts w:ascii="Times New Roman" w:hAnsi="Times New Roman" w:cs="Times New Roman"/>
          <w:noProof/>
          <w:sz w:val="24"/>
          <w:szCs w:val="24"/>
          <w:lang w:val="en-IE"/>
        </w:rPr>
        <w:t>ed</w:t>
      </w:r>
      <w:r w:rsidRPr="00575CC5">
        <w:rPr>
          <w:rFonts w:ascii="Times New Roman" w:hAnsi="Times New Roman" w:cs="Times New Roman"/>
          <w:noProof/>
          <w:sz w:val="24"/>
          <w:szCs w:val="24"/>
          <w:lang w:val="en-IE"/>
        </w:rPr>
        <w:t xml:space="preserve"> limited. </w:t>
      </w:r>
    </w:p>
    <w:p w14:paraId="0F0BAF55" w14:textId="567E984B" w:rsidR="006B6A5D" w:rsidRDefault="0020068A" w:rsidP="00161031">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Overall, the Directive </w:t>
      </w:r>
      <w:r w:rsidR="008418E1">
        <w:rPr>
          <w:rFonts w:ascii="Times New Roman" w:hAnsi="Times New Roman" w:cs="Times New Roman"/>
          <w:noProof/>
          <w:sz w:val="24"/>
          <w:szCs w:val="24"/>
          <w:lang w:val="en-IE"/>
        </w:rPr>
        <w:t xml:space="preserve">appears to have indirectly </w:t>
      </w:r>
      <w:r w:rsidRPr="00575CC5">
        <w:rPr>
          <w:rFonts w:ascii="Times New Roman" w:hAnsi="Times New Roman" w:cs="Times New Roman"/>
          <w:noProof/>
          <w:sz w:val="24"/>
          <w:szCs w:val="24"/>
          <w:lang w:val="en-IE"/>
        </w:rPr>
        <w:t>facilitated cross-border cooperation within the EU to some extent, especially for judicial authorities, but its impact remains uneven across stakeholders and appears more modest in the field of international cooperation with non-EU countries.</w:t>
      </w:r>
    </w:p>
    <w:p w14:paraId="1C9A73BA" w14:textId="77777777" w:rsidR="00383A20" w:rsidRDefault="00383A20" w:rsidP="00161031">
      <w:pPr>
        <w:jc w:val="both"/>
        <w:rPr>
          <w:rFonts w:ascii="Times New Roman" w:hAnsi="Times New Roman" w:cs="Times New Roman"/>
          <w:noProof/>
          <w:sz w:val="24"/>
          <w:szCs w:val="24"/>
          <w:lang w:val="en-IE"/>
        </w:rPr>
      </w:pPr>
    </w:p>
    <w:p w14:paraId="69C0B5AE" w14:textId="77777777" w:rsidR="00383A20" w:rsidRDefault="00383A20" w:rsidP="00161031">
      <w:pPr>
        <w:jc w:val="both"/>
        <w:rPr>
          <w:rFonts w:ascii="Times New Roman" w:hAnsi="Times New Roman" w:cs="Times New Roman"/>
          <w:noProof/>
          <w:sz w:val="24"/>
          <w:szCs w:val="24"/>
          <w:lang w:val="en-IE"/>
        </w:rPr>
      </w:pPr>
    </w:p>
    <w:p w14:paraId="2262A66F" w14:textId="77777777" w:rsidR="00383A20" w:rsidRDefault="00383A20" w:rsidP="00161031">
      <w:pPr>
        <w:jc w:val="both"/>
        <w:rPr>
          <w:rFonts w:ascii="Times New Roman" w:hAnsi="Times New Roman" w:cs="Times New Roman"/>
          <w:noProof/>
          <w:sz w:val="24"/>
          <w:szCs w:val="24"/>
          <w:lang w:val="en-IE"/>
        </w:rPr>
      </w:pPr>
    </w:p>
    <w:p w14:paraId="4C93FD41" w14:textId="77777777" w:rsidR="00383A20" w:rsidRDefault="00383A20" w:rsidP="00161031">
      <w:pPr>
        <w:jc w:val="both"/>
        <w:rPr>
          <w:rFonts w:ascii="Times New Roman" w:hAnsi="Times New Roman" w:cs="Times New Roman"/>
          <w:noProof/>
          <w:sz w:val="24"/>
          <w:szCs w:val="24"/>
          <w:lang w:val="en-IE"/>
        </w:rPr>
      </w:pPr>
    </w:p>
    <w:p w14:paraId="0D68EDC8" w14:textId="77777777" w:rsidR="00383A20" w:rsidRDefault="00383A20" w:rsidP="00161031">
      <w:pPr>
        <w:jc w:val="both"/>
        <w:rPr>
          <w:rFonts w:ascii="Times New Roman" w:hAnsi="Times New Roman" w:cs="Times New Roman"/>
          <w:noProof/>
          <w:sz w:val="24"/>
          <w:szCs w:val="24"/>
          <w:lang w:val="en-IE"/>
        </w:rPr>
      </w:pPr>
    </w:p>
    <w:p w14:paraId="45EDFE1F" w14:textId="77777777" w:rsidR="00383A20" w:rsidRPr="00575CC5" w:rsidRDefault="00383A20" w:rsidP="00161031">
      <w:pPr>
        <w:jc w:val="both"/>
        <w:rPr>
          <w:rFonts w:ascii="Times New Roman" w:hAnsi="Times New Roman" w:cs="Times New Roman"/>
          <w:noProof/>
          <w:sz w:val="24"/>
          <w:szCs w:val="24"/>
          <w:lang w:val="en-IE"/>
        </w:rPr>
      </w:pPr>
    </w:p>
    <w:p w14:paraId="250C2CA8" w14:textId="10796BDC" w:rsidR="009A1F58" w:rsidRPr="00575CC5" w:rsidRDefault="009A1F58" w:rsidP="009A1F58">
      <w:pPr>
        <w:jc w:val="center"/>
        <w:rPr>
          <w:rFonts w:ascii="Times New Roman" w:hAnsi="Times New Roman" w:cs="Times New Roman"/>
          <w:noProof/>
          <w:sz w:val="24"/>
          <w:szCs w:val="24"/>
          <w:lang w:val="en-IE"/>
        </w:rPr>
      </w:pPr>
      <w:r w:rsidRPr="00575CC5">
        <w:rPr>
          <w:rFonts w:ascii="Times New Roman" w:hAnsi="Times New Roman" w:cs="Times New Roman"/>
          <w:i/>
          <w:iCs/>
          <w:noProof/>
          <w:sz w:val="24"/>
          <w:szCs w:val="24"/>
        </w:rPr>
        <w:t>Figure </w:t>
      </w:r>
      <w:r w:rsidR="00933C10">
        <w:rPr>
          <w:rFonts w:ascii="Times New Roman" w:hAnsi="Times New Roman" w:cs="Times New Roman"/>
          <w:i/>
          <w:iCs/>
          <w:noProof/>
          <w:sz w:val="24"/>
          <w:szCs w:val="24"/>
        </w:rPr>
        <w:t>4</w:t>
      </w:r>
      <w:r w:rsidRPr="00575CC5">
        <w:rPr>
          <w:rFonts w:ascii="Times New Roman" w:hAnsi="Times New Roman" w:cs="Times New Roman"/>
          <w:i/>
          <w:iCs/>
          <w:noProof/>
          <w:sz w:val="24"/>
          <w:szCs w:val="24"/>
        </w:rPr>
        <w:t xml:space="preserve">: Overview of </w:t>
      </w:r>
      <w:r w:rsidR="00FC09A0">
        <w:rPr>
          <w:rFonts w:ascii="Times New Roman" w:hAnsi="Times New Roman" w:cs="Times New Roman"/>
          <w:i/>
          <w:iCs/>
          <w:noProof/>
          <w:sz w:val="24"/>
          <w:szCs w:val="24"/>
        </w:rPr>
        <w:t>n</w:t>
      </w:r>
      <w:r w:rsidRPr="00575CC5">
        <w:rPr>
          <w:rFonts w:ascii="Times New Roman" w:hAnsi="Times New Roman" w:cs="Times New Roman"/>
          <w:i/>
          <w:iCs/>
          <w:noProof/>
          <w:sz w:val="24"/>
          <w:szCs w:val="24"/>
        </w:rPr>
        <w:t xml:space="preserve">ational </w:t>
      </w:r>
      <w:r w:rsidR="00FC09A0">
        <w:rPr>
          <w:rFonts w:ascii="Times New Roman" w:hAnsi="Times New Roman" w:cs="Times New Roman"/>
          <w:i/>
          <w:iCs/>
          <w:noProof/>
          <w:sz w:val="24"/>
          <w:szCs w:val="24"/>
        </w:rPr>
        <w:t>a</w:t>
      </w:r>
      <w:r w:rsidRPr="00575CC5">
        <w:rPr>
          <w:rFonts w:ascii="Times New Roman" w:hAnsi="Times New Roman" w:cs="Times New Roman"/>
          <w:i/>
          <w:iCs/>
          <w:noProof/>
          <w:sz w:val="24"/>
          <w:szCs w:val="24"/>
        </w:rPr>
        <w:t xml:space="preserve">uthorities’ responses to </w:t>
      </w:r>
      <w:r w:rsidR="00FC09A0">
        <w:rPr>
          <w:rFonts w:ascii="Times New Roman" w:hAnsi="Times New Roman" w:cs="Times New Roman"/>
          <w:i/>
          <w:iCs/>
          <w:noProof/>
          <w:sz w:val="24"/>
          <w:szCs w:val="24"/>
        </w:rPr>
        <w:t>i</w:t>
      </w:r>
      <w:r w:rsidRPr="00575CC5">
        <w:rPr>
          <w:rFonts w:ascii="Times New Roman" w:hAnsi="Times New Roman" w:cs="Times New Roman"/>
          <w:i/>
          <w:iCs/>
          <w:noProof/>
          <w:sz w:val="24"/>
          <w:szCs w:val="24"/>
        </w:rPr>
        <w:t xml:space="preserve">nternational </w:t>
      </w:r>
      <w:r w:rsidR="00FC09A0">
        <w:rPr>
          <w:rFonts w:ascii="Times New Roman" w:hAnsi="Times New Roman" w:cs="Times New Roman"/>
          <w:i/>
          <w:iCs/>
          <w:noProof/>
          <w:sz w:val="24"/>
          <w:szCs w:val="24"/>
        </w:rPr>
        <w:t>c</w:t>
      </w:r>
      <w:r w:rsidRPr="00575CC5">
        <w:rPr>
          <w:rFonts w:ascii="Times New Roman" w:hAnsi="Times New Roman" w:cs="Times New Roman"/>
          <w:i/>
          <w:iCs/>
          <w:noProof/>
          <w:sz w:val="24"/>
          <w:szCs w:val="24"/>
        </w:rPr>
        <w:t xml:space="preserve">ooperation </w:t>
      </w:r>
      <w:r w:rsidR="00FC09A0">
        <w:rPr>
          <w:rFonts w:ascii="Times New Roman" w:hAnsi="Times New Roman" w:cs="Times New Roman"/>
          <w:i/>
          <w:iCs/>
          <w:noProof/>
          <w:sz w:val="24"/>
          <w:szCs w:val="24"/>
        </w:rPr>
        <w:t>f</w:t>
      </w:r>
      <w:r w:rsidRPr="00575CC5">
        <w:rPr>
          <w:rFonts w:ascii="Times New Roman" w:hAnsi="Times New Roman" w:cs="Times New Roman"/>
          <w:i/>
          <w:iCs/>
          <w:noProof/>
          <w:sz w:val="24"/>
          <w:szCs w:val="24"/>
        </w:rPr>
        <w:t>acilitation under Directive (EU) 2018/1673</w:t>
      </w:r>
    </w:p>
    <w:p w14:paraId="4770285B" w14:textId="27116A42" w:rsidR="0020068A" w:rsidRDefault="0020068A" w:rsidP="0020068A">
      <w:pPr>
        <w:rPr>
          <w:rFonts w:ascii="Times New Roman" w:hAnsi="Times New Roman" w:cs="Times New Roman"/>
          <w:noProof/>
          <w:sz w:val="24"/>
          <w:szCs w:val="24"/>
          <w:lang w:val="en-IE"/>
        </w:rPr>
      </w:pPr>
      <w:r w:rsidRPr="00F02686">
        <w:rPr>
          <w:rFonts w:ascii="Times New Roman" w:eastAsia="Calibri Light" w:hAnsi="Times New Roman" w:cs="Times New Roman"/>
          <w:noProof/>
          <w:sz w:val="24"/>
          <w:szCs w:val="24"/>
          <w:lang w:eastAsia="en-GB"/>
        </w:rPr>
        <w:drawing>
          <wp:inline distT="0" distB="0" distL="0" distR="0" wp14:anchorId="62261EB2" wp14:editId="214A4675">
            <wp:extent cx="4508573" cy="2008508"/>
            <wp:effectExtent l="0" t="0" r="6350" b="1079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5ED8333" w14:textId="77777777" w:rsidR="00383A20" w:rsidRPr="00575CC5" w:rsidRDefault="00383A20" w:rsidP="0020068A">
      <w:pPr>
        <w:rPr>
          <w:rFonts w:ascii="Times New Roman" w:hAnsi="Times New Roman" w:cs="Times New Roman"/>
          <w:noProof/>
          <w:sz w:val="24"/>
          <w:szCs w:val="24"/>
          <w:lang w:val="en-IE"/>
        </w:rPr>
      </w:pPr>
    </w:p>
    <w:p w14:paraId="3B2BBD03" w14:textId="3C2A4BE0" w:rsidR="00AC001D" w:rsidRDefault="00AC001D" w:rsidP="00AC001D">
      <w:pPr>
        <w:pStyle w:val="Heading3"/>
        <w:rPr>
          <w:rFonts w:ascii="Times New Roman" w:hAnsi="Times New Roman" w:cs="Times New Roman"/>
          <w:b/>
          <w:bCs/>
          <w:noProof/>
          <w:color w:val="000000" w:themeColor="text1"/>
          <w:lang w:val="en-IE"/>
        </w:rPr>
      </w:pPr>
      <w:bookmarkStart w:id="36" w:name="_Toc223439254"/>
      <w:r w:rsidRPr="00575CC5">
        <w:rPr>
          <w:rFonts w:ascii="Times New Roman" w:hAnsi="Times New Roman" w:cs="Times New Roman"/>
          <w:b/>
          <w:bCs/>
          <w:noProof/>
          <w:color w:val="000000" w:themeColor="text1"/>
          <w:lang w:val="en-IE"/>
        </w:rPr>
        <w:t>4.1.2. Efficiency</w:t>
      </w:r>
      <w:bookmarkEnd w:id="36"/>
    </w:p>
    <w:p w14:paraId="1D98D1FA" w14:textId="77777777" w:rsidR="000A6693" w:rsidRDefault="000A6693" w:rsidP="000A6693">
      <w:pPr>
        <w:rPr>
          <w:noProof/>
          <w:lang w:val="en-IE"/>
        </w:rPr>
      </w:pPr>
    </w:p>
    <w:tbl>
      <w:tblPr>
        <w:tblStyle w:val="TableGrid"/>
        <w:tblW w:w="0" w:type="auto"/>
        <w:tblLook w:val="04A0" w:firstRow="1" w:lastRow="0" w:firstColumn="1" w:lastColumn="0" w:noHBand="0" w:noVBand="1"/>
      </w:tblPr>
      <w:tblGrid>
        <w:gridCol w:w="8861"/>
      </w:tblGrid>
      <w:tr w:rsidR="000A6693" w:rsidRPr="00005FD1" w14:paraId="587B77AF" w14:textId="77777777">
        <w:tc>
          <w:tcPr>
            <w:tcW w:w="8861" w:type="dxa"/>
          </w:tcPr>
          <w:p w14:paraId="14BD2188" w14:textId="77777777" w:rsidR="000A6693" w:rsidRDefault="000A6693">
            <w:pPr>
              <w:rPr>
                <w:b/>
                <w:bCs/>
                <w:noProof/>
                <w:color w:val="000000" w:themeColor="text1"/>
                <w:lang w:val="en-IE"/>
              </w:rPr>
            </w:pPr>
            <w:r w:rsidRPr="008C79A2">
              <w:rPr>
                <w:b/>
                <w:bCs/>
                <w:noProof/>
                <w:color w:val="000000" w:themeColor="text1"/>
                <w:lang w:val="en-IE"/>
              </w:rPr>
              <w:t>Main findings:</w:t>
            </w:r>
          </w:p>
          <w:p w14:paraId="36BC23F1" w14:textId="18FACE26" w:rsidR="000A6693" w:rsidRPr="000A6693" w:rsidRDefault="000A6693">
            <w:pPr>
              <w:pStyle w:val="ListParagraph"/>
              <w:numPr>
                <w:ilvl w:val="0"/>
                <w:numId w:val="57"/>
              </w:numPr>
              <w:spacing w:after="0"/>
              <w:rPr>
                <w:b/>
                <w:bCs/>
                <w:noProof/>
                <w:color w:val="000000" w:themeColor="text1"/>
                <w:sz w:val="20"/>
                <w:lang w:val="en-IE"/>
              </w:rPr>
            </w:pPr>
            <w:r>
              <w:rPr>
                <w:b/>
                <w:bCs/>
                <w:noProof/>
                <w:color w:val="000000" w:themeColor="text1"/>
                <w:sz w:val="20"/>
                <w:lang w:val="en-IE"/>
              </w:rPr>
              <w:t xml:space="preserve">Costs </w:t>
            </w:r>
            <w:r w:rsidRPr="000A6693">
              <w:rPr>
                <w:rFonts w:ascii="Wingdings" w:eastAsia="Wingdings" w:hAnsi="Wingdings" w:cs="Wingdings"/>
                <w:b/>
                <w:noProof/>
                <w:color w:val="000000" w:themeColor="text1"/>
                <w:sz w:val="20"/>
                <w:lang w:val="en-IE"/>
              </w:rPr>
              <w:sym w:font="Wingdings" w:char="F0E0"/>
            </w:r>
            <w:r>
              <w:rPr>
                <w:b/>
                <w:bCs/>
                <w:noProof/>
                <w:color w:val="000000" w:themeColor="text1"/>
                <w:sz w:val="20"/>
                <w:lang w:val="en-IE"/>
              </w:rPr>
              <w:t xml:space="preserve"> </w:t>
            </w:r>
            <w:r w:rsidRPr="00F02686">
              <w:rPr>
                <w:noProof/>
                <w:color w:val="000000" w:themeColor="text1"/>
                <w:sz w:val="20"/>
                <w:lang w:val="en-IE"/>
              </w:rPr>
              <w:t>Implementing the Directive did not entail significant costs</w:t>
            </w:r>
            <w:r w:rsidR="008467DE">
              <w:rPr>
                <w:noProof/>
                <w:color w:val="000000" w:themeColor="text1"/>
                <w:sz w:val="20"/>
                <w:lang w:val="en-IE"/>
              </w:rPr>
              <w:t xml:space="preserve"> or </w:t>
            </w:r>
            <w:r w:rsidRPr="00F02686">
              <w:rPr>
                <w:noProof/>
                <w:color w:val="000000" w:themeColor="text1"/>
                <w:sz w:val="20"/>
                <w:lang w:val="en-IE"/>
              </w:rPr>
              <w:t>excessive administrative burden for MSs.</w:t>
            </w:r>
            <w:r>
              <w:rPr>
                <w:b/>
                <w:bCs/>
                <w:noProof/>
                <w:color w:val="000000" w:themeColor="text1"/>
                <w:sz w:val="20"/>
                <w:lang w:val="en-IE"/>
              </w:rPr>
              <w:t xml:space="preserve"> </w:t>
            </w:r>
            <w:r w:rsidRPr="00F02686">
              <w:rPr>
                <w:noProof/>
                <w:color w:val="000000" w:themeColor="text1"/>
                <w:sz w:val="20"/>
                <w:lang w:val="en-IE"/>
              </w:rPr>
              <w:t>No major legal amendments</w:t>
            </w:r>
            <w:r w:rsidR="008467DE">
              <w:rPr>
                <w:noProof/>
                <w:color w:val="000000" w:themeColor="text1"/>
                <w:sz w:val="20"/>
                <w:lang w:val="en-IE"/>
              </w:rPr>
              <w:t xml:space="preserve"> were</w:t>
            </w:r>
            <w:r w:rsidRPr="00F02686">
              <w:rPr>
                <w:noProof/>
                <w:color w:val="000000" w:themeColor="text1"/>
                <w:sz w:val="20"/>
                <w:lang w:val="en-IE"/>
              </w:rPr>
              <w:t xml:space="preserve"> </w:t>
            </w:r>
            <w:r w:rsidRPr="000A6693">
              <w:rPr>
                <w:noProof/>
                <w:color w:val="000000" w:themeColor="text1"/>
                <w:sz w:val="20"/>
                <w:lang w:val="en-IE"/>
              </w:rPr>
              <w:t>required,</w:t>
            </w:r>
            <w:r w:rsidRPr="00F02686">
              <w:rPr>
                <w:noProof/>
                <w:color w:val="000000" w:themeColor="text1"/>
                <w:sz w:val="20"/>
                <w:lang w:val="en-IE"/>
              </w:rPr>
              <w:t xml:space="preserve"> </w:t>
            </w:r>
            <w:r w:rsidR="006F7F01">
              <w:rPr>
                <w:noProof/>
                <w:color w:val="000000" w:themeColor="text1"/>
                <w:sz w:val="20"/>
                <w:lang w:val="en-IE"/>
              </w:rPr>
              <w:t>nor were</w:t>
            </w:r>
            <w:r w:rsidRPr="00F02686">
              <w:rPr>
                <w:noProof/>
                <w:color w:val="000000" w:themeColor="text1"/>
                <w:sz w:val="20"/>
                <w:lang w:val="en-IE"/>
              </w:rPr>
              <w:t xml:space="preserve"> new structures established.</w:t>
            </w:r>
            <w:r w:rsidRPr="000A6693">
              <w:rPr>
                <w:b/>
                <w:bCs/>
                <w:noProof/>
                <w:color w:val="000000" w:themeColor="text1"/>
                <w:sz w:val="20"/>
                <w:lang w:val="en-IE"/>
              </w:rPr>
              <w:t xml:space="preserve"> </w:t>
            </w:r>
          </w:p>
          <w:p w14:paraId="6ABB9D9B" w14:textId="44E9B6B4" w:rsidR="000A6693" w:rsidRPr="000A6693" w:rsidRDefault="000A6693">
            <w:pPr>
              <w:pStyle w:val="ListParagraph"/>
              <w:numPr>
                <w:ilvl w:val="0"/>
                <w:numId w:val="57"/>
              </w:numPr>
              <w:spacing w:after="0"/>
              <w:rPr>
                <w:b/>
                <w:bCs/>
                <w:noProof/>
                <w:color w:val="000000" w:themeColor="text1"/>
                <w:sz w:val="20"/>
                <w:lang w:val="en-IE"/>
              </w:rPr>
            </w:pPr>
            <w:r>
              <w:rPr>
                <w:b/>
                <w:bCs/>
                <w:noProof/>
                <w:color w:val="000000" w:themeColor="text1"/>
                <w:sz w:val="20"/>
                <w:lang w:val="en-IE"/>
              </w:rPr>
              <w:t xml:space="preserve">Benefits </w:t>
            </w:r>
            <w:r w:rsidRPr="000A6693">
              <w:rPr>
                <w:rFonts w:ascii="Wingdings" w:eastAsia="Wingdings" w:hAnsi="Wingdings" w:cs="Wingdings"/>
                <w:b/>
                <w:noProof/>
                <w:color w:val="000000" w:themeColor="text1"/>
                <w:sz w:val="20"/>
                <w:lang w:val="en-IE"/>
              </w:rPr>
              <w:sym w:font="Wingdings" w:char="F0E0"/>
            </w:r>
            <w:r>
              <w:rPr>
                <w:b/>
                <w:bCs/>
                <w:noProof/>
                <w:color w:val="000000" w:themeColor="text1"/>
                <w:sz w:val="20"/>
                <w:lang w:val="en-IE"/>
              </w:rPr>
              <w:t xml:space="preserve"> </w:t>
            </w:r>
            <w:r w:rsidRPr="00F02686">
              <w:rPr>
                <w:noProof/>
                <w:color w:val="000000" w:themeColor="text1"/>
                <w:sz w:val="20"/>
                <w:lang w:val="en-IE"/>
              </w:rPr>
              <w:t xml:space="preserve">Data are limited, and </w:t>
            </w:r>
            <w:r w:rsidRPr="000A6693">
              <w:rPr>
                <w:noProof/>
                <w:color w:val="000000" w:themeColor="text1"/>
                <w:sz w:val="20"/>
                <w:lang w:val="en-IE"/>
              </w:rPr>
              <w:t>further monitoring is deemed necessary. Most stakeholders report</w:t>
            </w:r>
            <w:r w:rsidRPr="00F02686">
              <w:rPr>
                <w:noProof/>
                <w:sz w:val="20"/>
              </w:rPr>
              <w:t xml:space="preserve"> greater legal clarity and effectiveness, enhanced deterrence and improved cooperation</w:t>
            </w:r>
          </w:p>
          <w:p w14:paraId="15BB9623" w14:textId="77777777" w:rsidR="000A6693" w:rsidRPr="008C79A2" w:rsidRDefault="000A6693" w:rsidP="00F02686">
            <w:pPr>
              <w:pStyle w:val="ListParagraph"/>
              <w:spacing w:after="0"/>
              <w:rPr>
                <w:noProof/>
                <w:color w:val="000000" w:themeColor="text1"/>
                <w:lang w:val="en-IE"/>
              </w:rPr>
            </w:pPr>
          </w:p>
        </w:tc>
      </w:tr>
    </w:tbl>
    <w:p w14:paraId="31E6EE3D" w14:textId="77777777" w:rsidR="000A6693" w:rsidRPr="00F02686" w:rsidRDefault="000A6693" w:rsidP="00F02686">
      <w:pPr>
        <w:rPr>
          <w:noProof/>
          <w:lang w:val="en-IE"/>
        </w:rPr>
      </w:pPr>
    </w:p>
    <w:p w14:paraId="579D484F" w14:textId="4D5A416F" w:rsidR="00D72518" w:rsidRDefault="00EC5354" w:rsidP="00F02686">
      <w:pPr>
        <w:jc w:val="both"/>
        <w:rPr>
          <w:noProof/>
          <w:lang w:val="en-IE"/>
        </w:rPr>
      </w:pPr>
      <w:r w:rsidRPr="008A47B8">
        <w:rPr>
          <w:rFonts w:ascii="Times New Roman" w:hAnsi="Times New Roman" w:cs="Times New Roman"/>
          <w:noProof/>
          <w:sz w:val="24"/>
          <w:szCs w:val="24"/>
        </w:rPr>
        <w:t xml:space="preserve">According to the Better Regulation Guidelines, </w:t>
      </w:r>
      <w:r w:rsidR="00FC09A0">
        <w:rPr>
          <w:rFonts w:ascii="Times New Roman" w:hAnsi="Times New Roman" w:cs="Times New Roman"/>
          <w:noProof/>
          <w:sz w:val="24"/>
          <w:szCs w:val="24"/>
        </w:rPr>
        <w:t xml:space="preserve">the </w:t>
      </w:r>
      <w:r w:rsidRPr="008A47B8">
        <w:rPr>
          <w:rFonts w:ascii="Times New Roman" w:hAnsi="Times New Roman" w:cs="Times New Roman"/>
          <w:noProof/>
          <w:sz w:val="24"/>
          <w:szCs w:val="24"/>
        </w:rPr>
        <w:t xml:space="preserve">efficiency </w:t>
      </w:r>
      <w:r w:rsidR="00FC09A0">
        <w:rPr>
          <w:rFonts w:ascii="Times New Roman" w:hAnsi="Times New Roman" w:cs="Times New Roman"/>
          <w:noProof/>
          <w:sz w:val="24"/>
          <w:szCs w:val="24"/>
        </w:rPr>
        <w:t>criterion determines whether</w:t>
      </w:r>
      <w:r w:rsidRPr="008A47B8">
        <w:rPr>
          <w:rFonts w:ascii="Times New Roman" w:hAnsi="Times New Roman" w:cs="Times New Roman"/>
          <w:noProof/>
          <w:sz w:val="24"/>
          <w:szCs w:val="24"/>
        </w:rPr>
        <w:t xml:space="preserve"> the Directive meets its objectives with minimal cost and no undue burdens. The assessment compared implementation costs and outcomes across the EU to determine if the Directiv</w:t>
      </w:r>
      <w:r w:rsidR="00484C18" w:rsidRPr="00A908E5">
        <w:rPr>
          <w:rFonts w:ascii="Times New Roman" w:hAnsi="Times New Roman" w:cs="Times New Roman"/>
          <w:noProof/>
          <w:sz w:val="24"/>
          <w:szCs w:val="24"/>
        </w:rPr>
        <w:t>e</w:t>
      </w:r>
      <w:r w:rsidR="00484C18">
        <w:rPr>
          <w:rFonts w:ascii="Times New Roman" w:hAnsi="Times New Roman" w:cs="Times New Roman"/>
          <w:noProof/>
          <w:sz w:val="24"/>
          <w:szCs w:val="24"/>
        </w:rPr>
        <w:t>’</w:t>
      </w:r>
      <w:r w:rsidR="00484C18" w:rsidRPr="00A908E5">
        <w:rPr>
          <w:rFonts w:ascii="Times New Roman" w:hAnsi="Times New Roman" w:cs="Times New Roman"/>
          <w:noProof/>
          <w:sz w:val="24"/>
          <w:szCs w:val="24"/>
        </w:rPr>
        <w:t>s</w:t>
      </w:r>
      <w:r w:rsidRPr="008A47B8">
        <w:rPr>
          <w:rFonts w:ascii="Times New Roman" w:hAnsi="Times New Roman" w:cs="Times New Roman"/>
          <w:noProof/>
          <w:sz w:val="24"/>
          <w:szCs w:val="24"/>
        </w:rPr>
        <w:t xml:space="preserve"> results justified its costs and if the regulatory burden on Member States was proportional to the benefits.</w:t>
      </w:r>
    </w:p>
    <w:p w14:paraId="0BF984C4" w14:textId="7258E6DB" w:rsidR="00AC001D" w:rsidRPr="00575CC5" w:rsidRDefault="00AC001D" w:rsidP="00AC001D">
      <w:pPr>
        <w:pStyle w:val="Heading4"/>
        <w:rPr>
          <w:rFonts w:ascii="Times New Roman" w:hAnsi="Times New Roman" w:cs="Times New Roman"/>
          <w:b/>
          <w:bCs/>
          <w:i w:val="0"/>
          <w:iCs w:val="0"/>
          <w:noProof/>
          <w:color w:val="000000" w:themeColor="text1"/>
          <w:sz w:val="24"/>
          <w:szCs w:val="24"/>
          <w:lang w:val="en-IE"/>
        </w:rPr>
      </w:pPr>
      <w:r w:rsidRPr="00575CC5">
        <w:rPr>
          <w:rFonts w:ascii="Times New Roman" w:hAnsi="Times New Roman" w:cs="Times New Roman"/>
          <w:b/>
          <w:bCs/>
          <w:i w:val="0"/>
          <w:iCs w:val="0"/>
          <w:noProof/>
          <w:color w:val="000000" w:themeColor="text1"/>
          <w:sz w:val="24"/>
          <w:szCs w:val="24"/>
          <w:lang w:val="en-IE"/>
        </w:rPr>
        <w:t>4.1.2.1. Costs and benefits of the Directive</w:t>
      </w:r>
    </w:p>
    <w:p w14:paraId="09FA60B5" w14:textId="785B1A25" w:rsidR="00FA7B30" w:rsidRPr="00575CC5" w:rsidRDefault="009F1EC3" w:rsidP="00412F5A">
      <w:pPr>
        <w:jc w:val="both"/>
        <w:rPr>
          <w:rFonts w:ascii="Times New Roman" w:hAnsi="Times New Roman" w:cs="Times New Roman"/>
          <w:noProof/>
          <w:sz w:val="24"/>
          <w:szCs w:val="24"/>
        </w:rPr>
      </w:pPr>
      <w:r>
        <w:rPr>
          <w:rFonts w:ascii="Times New Roman" w:hAnsi="Times New Roman" w:cs="Times New Roman"/>
          <w:noProof/>
          <w:sz w:val="24"/>
          <w:szCs w:val="24"/>
        </w:rPr>
        <w:t>The evaluation indicates</w:t>
      </w:r>
      <w:r w:rsidR="00AC001D" w:rsidRPr="00575CC5">
        <w:rPr>
          <w:rFonts w:ascii="Times New Roman" w:hAnsi="Times New Roman" w:cs="Times New Roman"/>
          <w:noProof/>
          <w:sz w:val="24"/>
          <w:szCs w:val="24"/>
        </w:rPr>
        <w:t xml:space="preserve"> that implementing </w:t>
      </w:r>
      <w:r w:rsidR="00A37C95" w:rsidRPr="00575CC5">
        <w:rPr>
          <w:rFonts w:ascii="Times New Roman" w:hAnsi="Times New Roman" w:cs="Times New Roman"/>
          <w:noProof/>
          <w:sz w:val="24"/>
          <w:szCs w:val="24"/>
        </w:rPr>
        <w:t xml:space="preserve">the </w:t>
      </w:r>
      <w:r w:rsidR="00AC001D" w:rsidRPr="00575CC5">
        <w:rPr>
          <w:rFonts w:ascii="Times New Roman" w:hAnsi="Times New Roman" w:cs="Times New Roman"/>
          <w:noProof/>
          <w:sz w:val="24"/>
          <w:szCs w:val="24"/>
        </w:rPr>
        <w:t xml:space="preserve">Directive did not entail significant costs </w:t>
      </w:r>
      <w:r w:rsidR="00C33F5C">
        <w:rPr>
          <w:rFonts w:ascii="Times New Roman" w:hAnsi="Times New Roman" w:cs="Times New Roman"/>
          <w:noProof/>
          <w:sz w:val="24"/>
          <w:szCs w:val="24"/>
        </w:rPr>
        <w:t xml:space="preserve">or excessive administrative burden </w:t>
      </w:r>
      <w:r w:rsidR="00AC001D" w:rsidRPr="00575CC5">
        <w:rPr>
          <w:rFonts w:ascii="Times New Roman" w:hAnsi="Times New Roman" w:cs="Times New Roman"/>
          <w:noProof/>
          <w:sz w:val="24"/>
          <w:szCs w:val="24"/>
        </w:rPr>
        <w:t>for Member States</w:t>
      </w:r>
      <w:r w:rsidR="00AC001D" w:rsidRPr="00575CC5">
        <w:rPr>
          <w:rFonts w:ascii="Times New Roman" w:hAnsi="Times New Roman" w:cs="Times New Roman"/>
          <w:noProof/>
          <w:sz w:val="24"/>
          <w:szCs w:val="24"/>
          <w:vertAlign w:val="superscript"/>
        </w:rPr>
        <w:footnoteReference w:id="52"/>
      </w:r>
      <w:r w:rsidR="00CF22D1">
        <w:rPr>
          <w:rFonts w:ascii="Times New Roman" w:hAnsi="Times New Roman" w:cs="Times New Roman"/>
          <w:noProof/>
          <w:sz w:val="24"/>
          <w:szCs w:val="24"/>
        </w:rPr>
        <w:t>. It considers</w:t>
      </w:r>
      <w:r w:rsidR="007E5C95" w:rsidRPr="00575CC5">
        <w:rPr>
          <w:rFonts w:ascii="Times New Roman" w:hAnsi="Times New Roman" w:cs="Times New Roman"/>
          <w:noProof/>
          <w:sz w:val="24"/>
          <w:szCs w:val="24"/>
        </w:rPr>
        <w:t xml:space="preserve"> the </w:t>
      </w:r>
      <w:r w:rsidR="00AC001D" w:rsidRPr="00575CC5">
        <w:rPr>
          <w:rFonts w:ascii="Times New Roman" w:hAnsi="Times New Roman" w:cs="Times New Roman"/>
          <w:noProof/>
          <w:sz w:val="24"/>
          <w:szCs w:val="24"/>
        </w:rPr>
        <w:t>Directive largely built on existing legislation and therefore required no major legal amendments</w:t>
      </w:r>
      <w:r w:rsidR="00F01191" w:rsidRPr="00575CC5">
        <w:rPr>
          <w:rFonts w:ascii="Times New Roman" w:hAnsi="Times New Roman" w:cs="Times New Roman"/>
          <w:noProof/>
          <w:sz w:val="24"/>
          <w:szCs w:val="24"/>
          <w:lang w:val="en-IE"/>
        </w:rPr>
        <w:t>.</w:t>
      </w:r>
      <w:r w:rsidR="002B3F6C" w:rsidRPr="00575CC5">
        <w:rPr>
          <w:rFonts w:ascii="Times New Roman" w:hAnsi="Times New Roman" w:cs="Times New Roman"/>
          <w:noProof/>
          <w:sz w:val="24"/>
          <w:szCs w:val="24"/>
          <w:lang w:val="en-IE"/>
        </w:rPr>
        <w:t xml:space="preserve"> </w:t>
      </w:r>
      <w:r w:rsidR="00CF22D1">
        <w:rPr>
          <w:rFonts w:ascii="Times New Roman" w:hAnsi="Times New Roman" w:cs="Times New Roman"/>
          <w:noProof/>
          <w:sz w:val="24"/>
          <w:szCs w:val="24"/>
          <w:lang w:val="en-IE"/>
        </w:rPr>
        <w:t>T</w:t>
      </w:r>
      <w:r w:rsidR="002B3F6C" w:rsidRPr="00575CC5">
        <w:rPr>
          <w:rFonts w:ascii="Times New Roman" w:hAnsi="Times New Roman" w:cs="Times New Roman"/>
          <w:noProof/>
          <w:sz w:val="24"/>
          <w:szCs w:val="24"/>
          <w:lang w:val="en-IE"/>
        </w:rPr>
        <w:t>he obligat</w:t>
      </w:r>
      <w:r w:rsidR="00EF15AE" w:rsidRPr="00575CC5">
        <w:rPr>
          <w:rFonts w:ascii="Times New Roman" w:hAnsi="Times New Roman" w:cs="Times New Roman"/>
          <w:noProof/>
          <w:sz w:val="24"/>
          <w:szCs w:val="24"/>
          <w:lang w:val="en-IE"/>
        </w:rPr>
        <w:t xml:space="preserve">ions of the Directive mainly produce changes in national criminal </w:t>
      </w:r>
      <w:r w:rsidR="007B23D6" w:rsidRPr="00575CC5">
        <w:rPr>
          <w:rFonts w:ascii="Times New Roman" w:hAnsi="Times New Roman" w:cs="Times New Roman"/>
          <w:noProof/>
          <w:sz w:val="24"/>
          <w:szCs w:val="24"/>
          <w:lang w:val="en-IE"/>
        </w:rPr>
        <w:t>codes or criminal procedural laws, but do not necessarily entail the creation of new structures</w:t>
      </w:r>
      <w:r w:rsidR="00B23ECF" w:rsidRPr="00575CC5">
        <w:rPr>
          <w:rFonts w:ascii="Times New Roman" w:hAnsi="Times New Roman" w:cs="Times New Roman"/>
          <w:noProof/>
          <w:sz w:val="24"/>
          <w:szCs w:val="24"/>
          <w:lang w:val="en-IE"/>
        </w:rPr>
        <w:t xml:space="preserve"> or procedures.</w:t>
      </w:r>
      <w:r w:rsidR="008D5E92" w:rsidRPr="00575CC5">
        <w:rPr>
          <w:rFonts w:ascii="Times New Roman" w:hAnsi="Times New Roman" w:cs="Times New Roman"/>
          <w:noProof/>
          <w:sz w:val="24"/>
          <w:szCs w:val="24"/>
          <w:lang w:val="en-IE"/>
        </w:rPr>
        <w:t xml:space="preserve"> </w:t>
      </w:r>
      <w:r w:rsidR="008D5E92" w:rsidRPr="00575CC5">
        <w:rPr>
          <w:rFonts w:ascii="Times New Roman" w:hAnsi="Times New Roman" w:cs="Times New Roman"/>
          <w:noProof/>
          <w:sz w:val="24"/>
          <w:szCs w:val="24"/>
        </w:rPr>
        <w:t>Some additional costs that the Directive entails are training for judicial and law enforcement authorities, especially with a view to the investigation and prosecution of new forms of money laundering introduced by the Directive</w:t>
      </w:r>
      <w:r w:rsidR="00484C18">
        <w:rPr>
          <w:rFonts w:ascii="Times New Roman" w:hAnsi="Times New Roman" w:cs="Times New Roman"/>
          <w:noProof/>
          <w:sz w:val="24"/>
          <w:szCs w:val="24"/>
        </w:rPr>
        <w:t>. However,</w:t>
      </w:r>
      <w:r w:rsidR="00484C18" w:rsidRPr="00575CC5">
        <w:rPr>
          <w:rFonts w:ascii="Times New Roman" w:hAnsi="Times New Roman" w:cs="Times New Roman"/>
          <w:noProof/>
          <w:sz w:val="24"/>
          <w:szCs w:val="24"/>
        </w:rPr>
        <w:t xml:space="preserve"> </w:t>
      </w:r>
      <w:r w:rsidR="008D5E92" w:rsidRPr="00575CC5">
        <w:rPr>
          <w:rFonts w:ascii="Times New Roman" w:hAnsi="Times New Roman" w:cs="Times New Roman"/>
          <w:noProof/>
          <w:sz w:val="24"/>
          <w:szCs w:val="24"/>
        </w:rPr>
        <w:t>these</w:t>
      </w:r>
      <w:r w:rsidR="00AA3E39" w:rsidRPr="00575CC5">
        <w:rPr>
          <w:rFonts w:ascii="Times New Roman" w:hAnsi="Times New Roman" w:cs="Times New Roman"/>
          <w:noProof/>
          <w:sz w:val="24"/>
          <w:szCs w:val="24"/>
        </w:rPr>
        <w:t xml:space="preserve"> elements </w:t>
      </w:r>
      <w:r w:rsidR="00CF22D1">
        <w:rPr>
          <w:rFonts w:ascii="Times New Roman" w:hAnsi="Times New Roman" w:cs="Times New Roman"/>
          <w:noProof/>
          <w:sz w:val="24"/>
          <w:szCs w:val="24"/>
        </w:rPr>
        <w:t>have been integrated</w:t>
      </w:r>
      <w:r w:rsidR="00AA3E39" w:rsidRPr="00575CC5">
        <w:rPr>
          <w:rFonts w:ascii="Times New Roman" w:hAnsi="Times New Roman" w:cs="Times New Roman"/>
          <w:noProof/>
          <w:sz w:val="24"/>
          <w:szCs w:val="24"/>
        </w:rPr>
        <w:t xml:space="preserve"> in the </w:t>
      </w:r>
      <w:r w:rsidR="00CF22D1">
        <w:rPr>
          <w:rFonts w:ascii="Times New Roman" w:hAnsi="Times New Roman" w:cs="Times New Roman"/>
          <w:noProof/>
          <w:sz w:val="24"/>
          <w:szCs w:val="24"/>
        </w:rPr>
        <w:t xml:space="preserve">existing </w:t>
      </w:r>
      <w:r w:rsidR="00AA3E39" w:rsidRPr="00575CC5">
        <w:rPr>
          <w:rFonts w:ascii="Times New Roman" w:hAnsi="Times New Roman" w:cs="Times New Roman"/>
          <w:noProof/>
          <w:sz w:val="24"/>
          <w:szCs w:val="24"/>
        </w:rPr>
        <w:t xml:space="preserve">continuous training opportunities offered to </w:t>
      </w:r>
      <w:r w:rsidR="00A8627D" w:rsidRPr="00575CC5">
        <w:rPr>
          <w:rFonts w:ascii="Times New Roman" w:hAnsi="Times New Roman" w:cs="Times New Roman"/>
          <w:noProof/>
          <w:sz w:val="24"/>
          <w:szCs w:val="24"/>
        </w:rPr>
        <w:t>investigators, prosecutors and judges.</w:t>
      </w:r>
      <w:r w:rsidR="00037ED4">
        <w:rPr>
          <w:rFonts w:ascii="Times New Roman" w:hAnsi="Times New Roman" w:cs="Times New Roman"/>
          <w:noProof/>
          <w:sz w:val="24"/>
          <w:szCs w:val="24"/>
        </w:rPr>
        <w:t xml:space="preserve"> </w:t>
      </w:r>
    </w:p>
    <w:p w14:paraId="554D90E7" w14:textId="68C0047C" w:rsidR="00B23ECF" w:rsidRDefault="00B23ECF" w:rsidP="00B23ECF">
      <w:pPr>
        <w:jc w:val="both"/>
        <w:rPr>
          <w:rFonts w:ascii="Times New Roman" w:hAnsi="Times New Roman" w:cs="Times New Roman"/>
          <w:i/>
          <w:iCs/>
          <w:noProof/>
          <w:sz w:val="24"/>
          <w:szCs w:val="24"/>
        </w:rPr>
      </w:pPr>
      <w:r w:rsidRPr="00575CC5">
        <w:rPr>
          <w:rFonts w:ascii="Times New Roman" w:hAnsi="Times New Roman" w:cs="Times New Roman"/>
          <w:i/>
          <w:iCs/>
          <w:noProof/>
          <w:sz w:val="24"/>
          <w:szCs w:val="24"/>
        </w:rPr>
        <w:t>Figure </w:t>
      </w:r>
      <w:r w:rsidR="00933C10">
        <w:rPr>
          <w:rFonts w:ascii="Times New Roman" w:hAnsi="Times New Roman" w:cs="Times New Roman"/>
          <w:i/>
          <w:iCs/>
          <w:noProof/>
          <w:sz w:val="24"/>
          <w:szCs w:val="24"/>
        </w:rPr>
        <w:t>5</w:t>
      </w:r>
      <w:r w:rsidRPr="00575CC5">
        <w:rPr>
          <w:rFonts w:ascii="Times New Roman" w:hAnsi="Times New Roman" w:cs="Times New Roman"/>
          <w:i/>
          <w:iCs/>
          <w:noProof/>
          <w:sz w:val="24"/>
          <w:szCs w:val="24"/>
        </w:rPr>
        <w:t xml:space="preserve">: Implementation costs of the Directive for </w:t>
      </w:r>
      <w:r w:rsidR="00B0326F">
        <w:rPr>
          <w:rFonts w:ascii="Times New Roman" w:hAnsi="Times New Roman" w:cs="Times New Roman"/>
          <w:i/>
          <w:iCs/>
          <w:noProof/>
          <w:sz w:val="24"/>
          <w:szCs w:val="24"/>
        </w:rPr>
        <w:t>l</w:t>
      </w:r>
      <w:r w:rsidRPr="00575CC5">
        <w:rPr>
          <w:rFonts w:ascii="Times New Roman" w:hAnsi="Times New Roman" w:cs="Times New Roman"/>
          <w:i/>
          <w:iCs/>
          <w:noProof/>
          <w:sz w:val="24"/>
          <w:szCs w:val="24"/>
        </w:rPr>
        <w:t xml:space="preserve">aw </w:t>
      </w:r>
      <w:r w:rsidR="00B0326F">
        <w:rPr>
          <w:rFonts w:ascii="Times New Roman" w:hAnsi="Times New Roman" w:cs="Times New Roman"/>
          <w:i/>
          <w:iCs/>
          <w:noProof/>
          <w:sz w:val="24"/>
          <w:szCs w:val="24"/>
        </w:rPr>
        <w:t>e</w:t>
      </w:r>
      <w:r w:rsidRPr="00575CC5">
        <w:rPr>
          <w:rFonts w:ascii="Times New Roman" w:hAnsi="Times New Roman" w:cs="Times New Roman"/>
          <w:i/>
          <w:iCs/>
          <w:noProof/>
          <w:sz w:val="24"/>
          <w:szCs w:val="24"/>
        </w:rPr>
        <w:t xml:space="preserve">nforcement </w:t>
      </w:r>
      <w:r w:rsidR="00B0326F">
        <w:rPr>
          <w:rFonts w:ascii="Times New Roman" w:hAnsi="Times New Roman" w:cs="Times New Roman"/>
          <w:i/>
          <w:iCs/>
          <w:noProof/>
          <w:sz w:val="24"/>
          <w:szCs w:val="24"/>
        </w:rPr>
        <w:t>a</w:t>
      </w:r>
      <w:r w:rsidRPr="00575CC5">
        <w:rPr>
          <w:rFonts w:ascii="Times New Roman" w:hAnsi="Times New Roman" w:cs="Times New Roman"/>
          <w:i/>
          <w:iCs/>
          <w:noProof/>
          <w:sz w:val="24"/>
          <w:szCs w:val="24"/>
        </w:rPr>
        <w:t>uthorities</w:t>
      </w:r>
    </w:p>
    <w:p w14:paraId="424C3498" w14:textId="0031420A" w:rsidR="007A14A1" w:rsidRPr="007A14A1" w:rsidRDefault="007A14A1" w:rsidP="00B23ECF">
      <w:pPr>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14:anchorId="7CBF314D" wp14:editId="4EE02F56">
            <wp:extent cx="5486400" cy="2560320"/>
            <wp:effectExtent l="0" t="0" r="0" b="11430"/>
            <wp:docPr id="10671401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5FD1B7E" w14:textId="4616659E" w:rsidR="00B23ECF" w:rsidRPr="00575CC5" w:rsidRDefault="00B23ECF" w:rsidP="00B23ECF">
      <w:pPr>
        <w:jc w:val="both"/>
        <w:rPr>
          <w:rFonts w:ascii="Times New Roman" w:hAnsi="Times New Roman" w:cs="Times New Roman"/>
          <w:noProof/>
          <w:sz w:val="24"/>
          <w:szCs w:val="24"/>
          <w:lang w:val="en-IE"/>
        </w:rPr>
      </w:pPr>
      <w:r w:rsidRPr="43491698">
        <w:rPr>
          <w:rFonts w:ascii="Times New Roman" w:hAnsi="Times New Roman" w:cs="Times New Roman"/>
          <w:i/>
          <w:iCs/>
          <w:noProof/>
          <w:sz w:val="24"/>
          <w:szCs w:val="24"/>
        </w:rPr>
        <w:t>Figure </w:t>
      </w:r>
      <w:r w:rsidR="00933C10" w:rsidRPr="43491698">
        <w:rPr>
          <w:rFonts w:ascii="Times New Roman" w:hAnsi="Times New Roman" w:cs="Times New Roman"/>
          <w:i/>
          <w:iCs/>
          <w:noProof/>
          <w:sz w:val="24"/>
          <w:szCs w:val="24"/>
        </w:rPr>
        <w:t>6</w:t>
      </w:r>
      <w:r w:rsidRPr="43491698">
        <w:rPr>
          <w:rFonts w:ascii="Times New Roman" w:hAnsi="Times New Roman" w:cs="Times New Roman"/>
          <w:i/>
          <w:iCs/>
          <w:noProof/>
          <w:sz w:val="24"/>
          <w:szCs w:val="24"/>
        </w:rPr>
        <w:t>: Overview of the reported outsized administrative burden associated with Directive (EU) 2018/1673</w:t>
      </w:r>
    </w:p>
    <w:p w14:paraId="336BE65F" w14:textId="6E68DC4B" w:rsidR="43491698" w:rsidRDefault="00F331F4" w:rsidP="43491698">
      <w:pPr>
        <w:jc w:val="both"/>
        <w:rPr>
          <w:rFonts w:ascii="Times New Roman" w:hAnsi="Times New Roman" w:cs="Times New Roman"/>
          <w:i/>
          <w:iCs/>
          <w:noProof/>
          <w:sz w:val="24"/>
          <w:szCs w:val="24"/>
        </w:rPr>
      </w:pPr>
      <w:r>
        <w:rPr>
          <w:rFonts w:ascii="Times New Roman" w:hAnsi="Times New Roman" w:cs="Times New Roman"/>
          <w:i/>
          <w:iCs/>
          <w:noProof/>
          <w:sz w:val="24"/>
          <w:szCs w:val="24"/>
          <w:lang w:eastAsia="en-GB"/>
        </w:rPr>
        <w:drawing>
          <wp:inline distT="0" distB="0" distL="0" distR="0" wp14:anchorId="47D8242A" wp14:editId="1DFEACD5">
            <wp:extent cx="5486400" cy="3200400"/>
            <wp:effectExtent l="0" t="0" r="0" b="0"/>
            <wp:docPr id="2046836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C4E2FA4" w14:textId="76DA936C" w:rsidR="00AC001D" w:rsidRPr="00575CC5" w:rsidRDefault="00AC001D" w:rsidP="00412F5A">
      <w:pPr>
        <w:jc w:val="both"/>
        <w:rPr>
          <w:rFonts w:ascii="Times New Roman" w:hAnsi="Times New Roman" w:cs="Times New Roman"/>
          <w:noProof/>
          <w:sz w:val="24"/>
          <w:szCs w:val="24"/>
        </w:rPr>
      </w:pPr>
      <w:r w:rsidRPr="00575CC5">
        <w:rPr>
          <w:rFonts w:ascii="Times New Roman" w:hAnsi="Times New Roman" w:cs="Times New Roman"/>
          <w:noProof/>
          <w:sz w:val="24"/>
          <w:szCs w:val="24"/>
        </w:rPr>
        <w:t>On the benefits side, data are limited</w:t>
      </w:r>
      <w:r w:rsidR="006E3AF4">
        <w:rPr>
          <w:rFonts w:ascii="Times New Roman" w:hAnsi="Times New Roman" w:cs="Times New Roman"/>
          <w:noProof/>
          <w:sz w:val="24"/>
          <w:szCs w:val="24"/>
        </w:rPr>
        <w:t xml:space="preserve"> </w:t>
      </w:r>
      <w:r w:rsidR="00B032A1">
        <w:rPr>
          <w:rFonts w:ascii="Times New Roman" w:hAnsi="Times New Roman" w:cs="Times New Roman"/>
          <w:noProof/>
          <w:sz w:val="24"/>
          <w:szCs w:val="24"/>
        </w:rPr>
        <w:t xml:space="preserve">in view of </w:t>
      </w:r>
      <w:r w:rsidR="006E3AF4">
        <w:rPr>
          <w:rFonts w:ascii="Times New Roman" w:hAnsi="Times New Roman" w:cs="Times New Roman"/>
          <w:noProof/>
          <w:sz w:val="24"/>
          <w:szCs w:val="24"/>
        </w:rPr>
        <w:t>the</w:t>
      </w:r>
      <w:r w:rsidRPr="00575CC5">
        <w:rPr>
          <w:rFonts w:ascii="Times New Roman" w:hAnsi="Times New Roman" w:cs="Times New Roman"/>
          <w:noProof/>
          <w:sz w:val="24"/>
          <w:szCs w:val="24"/>
        </w:rPr>
        <w:t xml:space="preserve"> </w:t>
      </w:r>
      <w:r w:rsidR="001A12BC">
        <w:rPr>
          <w:rFonts w:ascii="Times New Roman" w:hAnsi="Times New Roman" w:cs="Times New Roman"/>
          <w:noProof/>
          <w:sz w:val="24"/>
          <w:szCs w:val="24"/>
        </w:rPr>
        <w:t>length of criminal proceedings</w:t>
      </w:r>
      <w:r w:rsidR="00CF22D1">
        <w:rPr>
          <w:rFonts w:ascii="Times New Roman" w:hAnsi="Times New Roman" w:cs="Times New Roman"/>
          <w:noProof/>
          <w:sz w:val="24"/>
          <w:szCs w:val="24"/>
        </w:rPr>
        <w:t>. The evaluation is</w:t>
      </w:r>
      <w:r w:rsidRPr="00575CC5">
        <w:rPr>
          <w:rFonts w:ascii="Times New Roman" w:hAnsi="Times New Roman" w:cs="Times New Roman"/>
          <w:noProof/>
          <w:sz w:val="24"/>
          <w:szCs w:val="24"/>
        </w:rPr>
        <w:t xml:space="preserve"> </w:t>
      </w:r>
      <w:r w:rsidR="00CF22D1">
        <w:rPr>
          <w:rFonts w:ascii="Times New Roman" w:hAnsi="Times New Roman" w:cs="Times New Roman"/>
          <w:noProof/>
          <w:sz w:val="24"/>
          <w:szCs w:val="24"/>
        </w:rPr>
        <w:t xml:space="preserve">therefore largely </w:t>
      </w:r>
      <w:r w:rsidR="001A12BC">
        <w:rPr>
          <w:rFonts w:ascii="Times New Roman" w:hAnsi="Times New Roman" w:cs="Times New Roman"/>
          <w:noProof/>
          <w:sz w:val="24"/>
          <w:szCs w:val="24"/>
        </w:rPr>
        <w:t xml:space="preserve">based on </w:t>
      </w:r>
      <w:r w:rsidRPr="00575CC5">
        <w:rPr>
          <w:rFonts w:ascii="Times New Roman" w:hAnsi="Times New Roman" w:cs="Times New Roman"/>
          <w:noProof/>
          <w:sz w:val="24"/>
          <w:szCs w:val="24"/>
        </w:rPr>
        <w:t xml:space="preserve">observations </w:t>
      </w:r>
      <w:r w:rsidR="001A12BC">
        <w:rPr>
          <w:rFonts w:ascii="Times New Roman" w:hAnsi="Times New Roman" w:cs="Times New Roman"/>
          <w:noProof/>
          <w:sz w:val="24"/>
          <w:szCs w:val="24"/>
        </w:rPr>
        <w:t xml:space="preserve">of the practical benefits that authorities have </w:t>
      </w:r>
      <w:r w:rsidR="001A12BC" w:rsidRPr="008E60C2">
        <w:rPr>
          <w:rFonts w:ascii="Times New Roman" w:hAnsi="Times New Roman" w:cs="Times New Roman"/>
          <w:noProof/>
          <w:sz w:val="24"/>
          <w:szCs w:val="24"/>
        </w:rPr>
        <w:t>experienced so far</w:t>
      </w:r>
      <w:r w:rsidRPr="008E60C2">
        <w:rPr>
          <w:rFonts w:ascii="Times New Roman" w:hAnsi="Times New Roman" w:cs="Times New Roman"/>
          <w:noProof/>
          <w:sz w:val="24"/>
          <w:szCs w:val="24"/>
          <w:vertAlign w:val="superscript"/>
        </w:rPr>
        <w:footnoteReference w:id="53"/>
      </w:r>
      <w:r w:rsidRPr="008E60C2">
        <w:rPr>
          <w:rFonts w:ascii="Times New Roman" w:hAnsi="Times New Roman" w:cs="Times New Roman"/>
          <w:noProof/>
          <w:sz w:val="24"/>
          <w:szCs w:val="24"/>
        </w:rPr>
        <w:t xml:space="preserve">. Asset </w:t>
      </w:r>
      <w:r w:rsidR="00B032A1" w:rsidRPr="008E60C2">
        <w:rPr>
          <w:rFonts w:ascii="Times New Roman" w:hAnsi="Times New Roman" w:cs="Times New Roman"/>
          <w:noProof/>
          <w:sz w:val="24"/>
          <w:szCs w:val="24"/>
        </w:rPr>
        <w:t xml:space="preserve">recovery offices </w:t>
      </w:r>
      <w:r w:rsidRPr="008E60C2">
        <w:rPr>
          <w:rFonts w:ascii="Times New Roman" w:hAnsi="Times New Roman" w:cs="Times New Roman"/>
          <w:noProof/>
          <w:sz w:val="24"/>
          <w:szCs w:val="24"/>
        </w:rPr>
        <w:t xml:space="preserve">pointed to greater legal clarity and effectiveness </w:t>
      </w:r>
      <w:r w:rsidR="008C42B0" w:rsidRPr="00F02686">
        <w:rPr>
          <w:rFonts w:ascii="Times New Roman" w:hAnsi="Times New Roman" w:cs="Times New Roman"/>
          <w:noProof/>
          <w:sz w:val="24"/>
          <w:szCs w:val="24"/>
        </w:rPr>
        <w:t>(</w:t>
      </w:r>
      <w:r w:rsidR="00CD1C3A" w:rsidRPr="008E60C2">
        <w:rPr>
          <w:rFonts w:ascii="Times New Roman" w:hAnsi="Times New Roman" w:cs="Times New Roman"/>
          <w:noProof/>
          <w:sz w:val="24"/>
          <w:szCs w:val="24"/>
        </w:rPr>
        <w:t>particularly regarding</w:t>
      </w:r>
      <w:r w:rsidR="008C42B0" w:rsidRPr="008E60C2">
        <w:rPr>
          <w:rFonts w:ascii="Times New Roman" w:hAnsi="Times New Roman" w:cs="Times New Roman"/>
          <w:noProof/>
          <w:sz w:val="24"/>
          <w:szCs w:val="24"/>
        </w:rPr>
        <w:t xml:space="preserve"> information exchange</w:t>
      </w:r>
      <w:r w:rsidR="008C42B0" w:rsidRPr="00F02686">
        <w:rPr>
          <w:rFonts w:ascii="Times New Roman" w:hAnsi="Times New Roman" w:cs="Times New Roman"/>
          <w:noProof/>
          <w:sz w:val="24"/>
          <w:szCs w:val="24"/>
        </w:rPr>
        <w:t>)</w:t>
      </w:r>
      <w:r w:rsidR="006F7F01">
        <w:rPr>
          <w:rFonts w:ascii="Times New Roman" w:hAnsi="Times New Roman" w:cs="Times New Roman"/>
          <w:noProof/>
          <w:sz w:val="24"/>
          <w:szCs w:val="24"/>
        </w:rPr>
        <w:t xml:space="preserve"> </w:t>
      </w:r>
      <w:r w:rsidR="00AE2117" w:rsidRPr="008E60C2">
        <w:rPr>
          <w:rFonts w:ascii="Times New Roman" w:hAnsi="Times New Roman" w:cs="Times New Roman"/>
          <w:noProof/>
          <w:sz w:val="24"/>
          <w:szCs w:val="24"/>
        </w:rPr>
        <w:t xml:space="preserve">as a result of </w:t>
      </w:r>
      <w:r w:rsidRPr="008E60C2">
        <w:rPr>
          <w:rFonts w:ascii="Times New Roman" w:hAnsi="Times New Roman" w:cs="Times New Roman"/>
          <w:noProof/>
          <w:sz w:val="24"/>
          <w:szCs w:val="24"/>
        </w:rPr>
        <w:t xml:space="preserve">the </w:t>
      </w:r>
      <w:r w:rsidR="00FC5A51" w:rsidRPr="008E60C2">
        <w:rPr>
          <w:rFonts w:ascii="Times New Roman" w:hAnsi="Times New Roman" w:cs="Times New Roman"/>
          <w:noProof/>
          <w:sz w:val="24"/>
          <w:szCs w:val="24"/>
        </w:rPr>
        <w:t>the notion of</w:t>
      </w:r>
      <w:r w:rsidRPr="008E60C2">
        <w:rPr>
          <w:rFonts w:ascii="Times New Roman" w:hAnsi="Times New Roman" w:cs="Times New Roman"/>
          <w:noProof/>
          <w:sz w:val="24"/>
          <w:szCs w:val="24"/>
        </w:rPr>
        <w:t xml:space="preserve"> money laundering</w:t>
      </w:r>
      <w:r w:rsidR="001D4226" w:rsidRPr="008E60C2">
        <w:rPr>
          <w:rFonts w:ascii="Times New Roman" w:hAnsi="Times New Roman" w:cs="Times New Roman"/>
          <w:noProof/>
          <w:sz w:val="24"/>
          <w:szCs w:val="24"/>
        </w:rPr>
        <w:t xml:space="preserve"> being </w:t>
      </w:r>
      <w:r w:rsidR="001D37F5" w:rsidRPr="008E60C2">
        <w:rPr>
          <w:rFonts w:ascii="Times New Roman" w:hAnsi="Times New Roman" w:cs="Times New Roman"/>
          <w:noProof/>
          <w:sz w:val="24"/>
          <w:szCs w:val="24"/>
        </w:rPr>
        <w:t>redefined</w:t>
      </w:r>
      <w:r w:rsidRPr="008E60C2">
        <w:rPr>
          <w:rFonts w:ascii="Times New Roman" w:hAnsi="Times New Roman" w:cs="Times New Roman"/>
          <w:noProof/>
          <w:sz w:val="24"/>
          <w:szCs w:val="24"/>
        </w:rPr>
        <w:t xml:space="preserve">. Judicial </w:t>
      </w:r>
      <w:r w:rsidR="00CF22D1" w:rsidRPr="008E60C2">
        <w:rPr>
          <w:rFonts w:ascii="Times New Roman" w:hAnsi="Times New Roman" w:cs="Times New Roman"/>
          <w:noProof/>
          <w:sz w:val="24"/>
          <w:szCs w:val="24"/>
        </w:rPr>
        <w:t>a</w:t>
      </w:r>
      <w:r w:rsidRPr="008E60C2">
        <w:rPr>
          <w:rFonts w:ascii="Times New Roman" w:hAnsi="Times New Roman" w:cs="Times New Roman"/>
          <w:noProof/>
          <w:sz w:val="24"/>
          <w:szCs w:val="24"/>
        </w:rPr>
        <w:t xml:space="preserve">uthorities highlighted enhanced deterrence and improved cooperation, while </w:t>
      </w:r>
      <w:r w:rsidR="00CF22D1" w:rsidRPr="008E60C2">
        <w:rPr>
          <w:rFonts w:ascii="Times New Roman" w:hAnsi="Times New Roman" w:cs="Times New Roman"/>
          <w:noProof/>
          <w:sz w:val="24"/>
          <w:szCs w:val="24"/>
        </w:rPr>
        <w:t>l</w:t>
      </w:r>
      <w:r w:rsidRPr="008E60C2">
        <w:rPr>
          <w:rFonts w:ascii="Times New Roman" w:hAnsi="Times New Roman" w:cs="Times New Roman"/>
          <w:noProof/>
          <w:sz w:val="24"/>
          <w:szCs w:val="24"/>
        </w:rPr>
        <w:t xml:space="preserve">aw </w:t>
      </w:r>
      <w:r w:rsidR="00CF22D1" w:rsidRPr="008E60C2">
        <w:rPr>
          <w:rFonts w:ascii="Times New Roman" w:hAnsi="Times New Roman" w:cs="Times New Roman"/>
          <w:noProof/>
          <w:sz w:val="24"/>
          <w:szCs w:val="24"/>
        </w:rPr>
        <w:t>e</w:t>
      </w:r>
      <w:r w:rsidRPr="008E60C2">
        <w:rPr>
          <w:rFonts w:ascii="Times New Roman" w:hAnsi="Times New Roman" w:cs="Times New Roman"/>
          <w:noProof/>
          <w:sz w:val="24"/>
          <w:szCs w:val="24"/>
        </w:rPr>
        <w:t>nforcement reported stronger investigative tools</w:t>
      </w:r>
      <w:r w:rsidR="006469CA" w:rsidRPr="00F02686">
        <w:rPr>
          <w:rFonts w:ascii="Times New Roman" w:hAnsi="Times New Roman" w:cs="Times New Roman"/>
          <w:noProof/>
          <w:sz w:val="24"/>
          <w:szCs w:val="24"/>
        </w:rPr>
        <w:t xml:space="preserve"> due to the provision in </w:t>
      </w:r>
      <w:r w:rsidR="001D37F5" w:rsidRPr="00F02686">
        <w:rPr>
          <w:rFonts w:ascii="Times New Roman" w:hAnsi="Times New Roman" w:cs="Times New Roman"/>
          <w:noProof/>
          <w:sz w:val="24"/>
          <w:szCs w:val="24"/>
        </w:rPr>
        <w:t>Article</w:t>
      </w:r>
      <w:r w:rsidR="006469CA" w:rsidRPr="00F02686">
        <w:rPr>
          <w:rFonts w:ascii="Times New Roman" w:hAnsi="Times New Roman" w:cs="Times New Roman"/>
          <w:noProof/>
          <w:sz w:val="24"/>
          <w:szCs w:val="24"/>
        </w:rPr>
        <w:t xml:space="preserve"> 11 of the Directive</w:t>
      </w:r>
      <w:r w:rsidRPr="008E60C2">
        <w:rPr>
          <w:rFonts w:ascii="Times New Roman" w:hAnsi="Times New Roman" w:cs="Times New Roman"/>
          <w:noProof/>
          <w:sz w:val="24"/>
          <w:szCs w:val="24"/>
        </w:rPr>
        <w:t>, deterrence effects,</w:t>
      </w:r>
      <w:r w:rsidRPr="00575CC5">
        <w:rPr>
          <w:rFonts w:ascii="Times New Roman" w:hAnsi="Times New Roman" w:cs="Times New Roman"/>
          <w:noProof/>
          <w:sz w:val="24"/>
          <w:szCs w:val="24"/>
        </w:rPr>
        <w:t xml:space="preserve"> and </w:t>
      </w:r>
      <w:r w:rsidR="00796EA6" w:rsidRPr="00575CC5">
        <w:rPr>
          <w:rFonts w:ascii="Times New Roman" w:hAnsi="Times New Roman" w:cs="Times New Roman"/>
          <w:noProof/>
          <w:sz w:val="24"/>
          <w:szCs w:val="24"/>
        </w:rPr>
        <w:t xml:space="preserve">cross-border </w:t>
      </w:r>
      <w:r w:rsidRPr="00575CC5">
        <w:rPr>
          <w:rFonts w:ascii="Times New Roman" w:hAnsi="Times New Roman" w:cs="Times New Roman"/>
          <w:noProof/>
          <w:sz w:val="24"/>
          <w:szCs w:val="24"/>
        </w:rPr>
        <w:t xml:space="preserve">collaboration. At the same time, </w:t>
      </w:r>
      <w:r w:rsidR="00796EA6" w:rsidRPr="00575CC5">
        <w:rPr>
          <w:rFonts w:ascii="Times New Roman" w:hAnsi="Times New Roman" w:cs="Times New Roman"/>
          <w:noProof/>
          <w:sz w:val="24"/>
          <w:szCs w:val="24"/>
        </w:rPr>
        <w:t xml:space="preserve">those </w:t>
      </w:r>
      <w:r w:rsidRPr="00575CC5">
        <w:rPr>
          <w:rFonts w:ascii="Times New Roman" w:hAnsi="Times New Roman" w:cs="Times New Roman"/>
          <w:noProof/>
          <w:sz w:val="24"/>
          <w:szCs w:val="24"/>
        </w:rPr>
        <w:t xml:space="preserve">Member States </w:t>
      </w:r>
      <w:r w:rsidR="006F6698">
        <w:rPr>
          <w:rFonts w:ascii="Times New Roman" w:hAnsi="Times New Roman" w:cs="Times New Roman"/>
          <w:noProof/>
          <w:sz w:val="24"/>
          <w:szCs w:val="24"/>
        </w:rPr>
        <w:t xml:space="preserve">whose national framework </w:t>
      </w:r>
      <w:r w:rsidR="00B51047">
        <w:rPr>
          <w:rFonts w:ascii="Times New Roman" w:hAnsi="Times New Roman" w:cs="Times New Roman"/>
          <w:noProof/>
          <w:sz w:val="24"/>
          <w:szCs w:val="24"/>
        </w:rPr>
        <w:t>already largely reached the standards set by</w:t>
      </w:r>
      <w:r w:rsidRPr="00575CC5">
        <w:rPr>
          <w:rFonts w:ascii="Times New Roman" w:hAnsi="Times New Roman" w:cs="Times New Roman"/>
          <w:noProof/>
          <w:sz w:val="24"/>
          <w:szCs w:val="24"/>
        </w:rPr>
        <w:t xml:space="preserve"> the Directive</w:t>
      </w:r>
      <w:r w:rsidR="00521060">
        <w:rPr>
          <w:rFonts w:ascii="Times New Roman" w:hAnsi="Times New Roman" w:cs="Times New Roman"/>
          <w:noProof/>
          <w:sz w:val="24"/>
          <w:szCs w:val="24"/>
        </w:rPr>
        <w:t xml:space="preserve"> at the time of its adoption</w:t>
      </w:r>
      <w:r w:rsidRPr="00575CC5">
        <w:rPr>
          <w:rFonts w:ascii="Times New Roman" w:hAnsi="Times New Roman" w:cs="Times New Roman"/>
          <w:noProof/>
          <w:sz w:val="24"/>
          <w:szCs w:val="24"/>
        </w:rPr>
        <w:t xml:space="preserve"> noted only limited </w:t>
      </w:r>
      <w:r w:rsidR="00796EA6" w:rsidRPr="00575CC5">
        <w:rPr>
          <w:rFonts w:ascii="Times New Roman" w:hAnsi="Times New Roman" w:cs="Times New Roman"/>
          <w:noProof/>
          <w:sz w:val="24"/>
          <w:szCs w:val="24"/>
        </w:rPr>
        <w:t>improvements</w:t>
      </w:r>
      <w:r w:rsidRPr="00575CC5">
        <w:rPr>
          <w:rFonts w:ascii="Times New Roman" w:hAnsi="Times New Roman" w:cs="Times New Roman"/>
          <w:noProof/>
          <w:sz w:val="24"/>
          <w:szCs w:val="24"/>
        </w:rPr>
        <w:t>.</w:t>
      </w:r>
    </w:p>
    <w:p w14:paraId="1C843689" w14:textId="0DE923F6" w:rsidR="00182D7D" w:rsidRPr="00575CC5" w:rsidRDefault="00AC001D" w:rsidP="00161031">
      <w:pPr>
        <w:jc w:val="both"/>
        <w:rPr>
          <w:rFonts w:ascii="Times New Roman" w:hAnsi="Times New Roman" w:cs="Times New Roman"/>
          <w:noProof/>
        </w:rPr>
      </w:pPr>
      <w:r w:rsidRPr="00575CC5">
        <w:rPr>
          <w:rFonts w:ascii="Times New Roman" w:hAnsi="Times New Roman" w:cs="Times New Roman"/>
          <w:noProof/>
          <w:sz w:val="24"/>
          <w:szCs w:val="24"/>
        </w:rPr>
        <w:t>Overall, the</w:t>
      </w:r>
      <w:r w:rsidR="00961162" w:rsidRPr="76D071DD">
        <w:rPr>
          <w:rFonts w:ascii="Times New Roman" w:hAnsi="Times New Roman" w:cs="Times New Roman"/>
          <w:noProof/>
          <w:sz w:val="24"/>
          <w:szCs w:val="24"/>
        </w:rPr>
        <w:t>re are indications that the</w:t>
      </w:r>
      <w:r w:rsidRPr="00575CC5">
        <w:rPr>
          <w:rFonts w:ascii="Times New Roman" w:hAnsi="Times New Roman" w:cs="Times New Roman"/>
          <w:noProof/>
          <w:sz w:val="24"/>
          <w:szCs w:val="24"/>
        </w:rPr>
        <w:t xml:space="preserve"> Directive supports the fight against money laundering and safeguards financial integrity, but the lack of comprehensive data underlines the need for continued monitoring to fully capture its benefits.</w:t>
      </w:r>
    </w:p>
    <w:p w14:paraId="28940AD6" w14:textId="7CEF3D87" w:rsidR="006F7F01" w:rsidRPr="006F7F01" w:rsidRDefault="00D476DE" w:rsidP="00412F5A">
      <w:pPr>
        <w:jc w:val="both"/>
        <w:rPr>
          <w:rFonts w:ascii="Times New Roman" w:hAnsi="Times New Roman" w:cs="Times New Roman"/>
          <w:noProof/>
          <w:sz w:val="24"/>
          <w:szCs w:val="24"/>
        </w:rPr>
      </w:pPr>
      <w:r w:rsidRPr="00575CC5">
        <w:rPr>
          <w:rFonts w:ascii="Times New Roman" w:hAnsi="Times New Roman" w:cs="Times New Roman"/>
          <w:noProof/>
          <w:sz w:val="24"/>
          <w:szCs w:val="24"/>
        </w:rPr>
        <w:t xml:space="preserve">In conclusion, the assessment of costs and benefits can only be </w:t>
      </w:r>
      <w:r w:rsidR="00565CBF">
        <w:rPr>
          <w:rFonts w:ascii="Times New Roman" w:hAnsi="Times New Roman" w:cs="Times New Roman"/>
          <w:noProof/>
          <w:sz w:val="24"/>
          <w:szCs w:val="24"/>
        </w:rPr>
        <w:t xml:space="preserve">considered </w:t>
      </w:r>
      <w:r w:rsidRPr="00575CC5">
        <w:rPr>
          <w:rFonts w:ascii="Times New Roman" w:hAnsi="Times New Roman" w:cs="Times New Roman"/>
          <w:noProof/>
          <w:sz w:val="24"/>
          <w:szCs w:val="24"/>
        </w:rPr>
        <w:t>preliminary</w:t>
      </w:r>
      <w:r w:rsidR="006E3AF4">
        <w:rPr>
          <w:rFonts w:ascii="Times New Roman" w:hAnsi="Times New Roman" w:cs="Times New Roman"/>
          <w:noProof/>
          <w:sz w:val="24"/>
          <w:szCs w:val="24"/>
        </w:rPr>
        <w:t xml:space="preserve"> </w:t>
      </w:r>
      <w:r w:rsidR="00565CBF">
        <w:rPr>
          <w:rFonts w:ascii="Times New Roman" w:hAnsi="Times New Roman" w:cs="Times New Roman"/>
          <w:noProof/>
          <w:sz w:val="24"/>
          <w:szCs w:val="24"/>
        </w:rPr>
        <w:t>as it is largely based on anecdotal evidence/unquantifiable general observations by stakeholde</w:t>
      </w:r>
      <w:r w:rsidR="006574E4">
        <w:rPr>
          <w:rFonts w:ascii="Times New Roman" w:hAnsi="Times New Roman" w:cs="Times New Roman"/>
          <w:noProof/>
          <w:sz w:val="24"/>
          <w:szCs w:val="24"/>
        </w:rPr>
        <w:t>rs</w:t>
      </w:r>
      <w:r w:rsidR="00C61DC3">
        <w:rPr>
          <w:rFonts w:ascii="Times New Roman" w:hAnsi="Times New Roman" w:cs="Times New Roman"/>
          <w:noProof/>
          <w:sz w:val="24"/>
          <w:szCs w:val="24"/>
        </w:rPr>
        <w:t>,</w:t>
      </w:r>
      <w:r w:rsidR="006574E4">
        <w:rPr>
          <w:rFonts w:ascii="Times New Roman" w:hAnsi="Times New Roman" w:cs="Times New Roman"/>
          <w:noProof/>
          <w:sz w:val="24"/>
          <w:szCs w:val="24"/>
        </w:rPr>
        <w:t xml:space="preserve"> given the lack of comparative quantitative data (as discussed above).</w:t>
      </w:r>
      <w:r w:rsidRPr="00575CC5">
        <w:rPr>
          <w:rFonts w:ascii="Times New Roman" w:hAnsi="Times New Roman" w:cs="Times New Roman"/>
          <w:noProof/>
          <w:sz w:val="24"/>
          <w:szCs w:val="24"/>
        </w:rPr>
        <w:t xml:space="preserve"> T</w:t>
      </w:r>
      <w:bookmarkStart w:id="37" w:name="_Toc213782301"/>
      <w:r w:rsidR="00D10F3D" w:rsidRPr="00575CC5">
        <w:rPr>
          <w:rFonts w:ascii="Times New Roman" w:hAnsi="Times New Roman" w:cs="Times New Roman"/>
          <w:noProof/>
          <w:sz w:val="24"/>
          <w:szCs w:val="24"/>
        </w:rPr>
        <w:t xml:space="preserve">he full </w:t>
      </w:r>
      <w:r w:rsidR="00D10F3D" w:rsidRPr="006F7F01">
        <w:rPr>
          <w:rFonts w:ascii="Times New Roman" w:hAnsi="Times New Roman" w:cs="Times New Roman"/>
          <w:noProof/>
          <w:sz w:val="24"/>
          <w:szCs w:val="24"/>
        </w:rPr>
        <w:t xml:space="preserve">impact of the Directive </w:t>
      </w:r>
      <w:r w:rsidRPr="006F7F01">
        <w:rPr>
          <w:rFonts w:ascii="Times New Roman" w:hAnsi="Times New Roman" w:cs="Times New Roman"/>
          <w:noProof/>
          <w:sz w:val="24"/>
          <w:szCs w:val="24"/>
        </w:rPr>
        <w:t xml:space="preserve">in quantitative terms (number of prosecutions and convictions, volume of assets frozen and confiscated in these money laundering cases) </w:t>
      </w:r>
      <w:r w:rsidR="00C2151F" w:rsidRPr="006F7F01">
        <w:rPr>
          <w:rFonts w:ascii="Times New Roman" w:hAnsi="Times New Roman" w:cs="Times New Roman"/>
          <w:noProof/>
          <w:sz w:val="24"/>
          <w:szCs w:val="24"/>
        </w:rPr>
        <w:t xml:space="preserve">can </w:t>
      </w:r>
      <w:r w:rsidR="00D10F3D" w:rsidRPr="006F7F01">
        <w:rPr>
          <w:rFonts w:ascii="Times New Roman" w:hAnsi="Times New Roman" w:cs="Times New Roman"/>
          <w:noProof/>
          <w:sz w:val="24"/>
          <w:szCs w:val="24"/>
        </w:rPr>
        <w:t xml:space="preserve">only be </w:t>
      </w:r>
      <w:r w:rsidR="00C2151F" w:rsidRPr="006F7F01">
        <w:rPr>
          <w:rFonts w:ascii="Times New Roman" w:hAnsi="Times New Roman" w:cs="Times New Roman"/>
          <w:noProof/>
          <w:sz w:val="24"/>
          <w:szCs w:val="24"/>
        </w:rPr>
        <w:t xml:space="preserve">assessed once a statistically significant number of </w:t>
      </w:r>
      <w:r w:rsidR="00532DB6" w:rsidRPr="006F7F01">
        <w:rPr>
          <w:rFonts w:ascii="Times New Roman" w:hAnsi="Times New Roman" w:cs="Times New Roman"/>
          <w:noProof/>
          <w:sz w:val="24"/>
          <w:szCs w:val="24"/>
        </w:rPr>
        <w:t>pro</w:t>
      </w:r>
      <w:r w:rsidR="00532DB6">
        <w:rPr>
          <w:rFonts w:ascii="Times New Roman" w:hAnsi="Times New Roman" w:cs="Times New Roman"/>
          <w:noProof/>
          <w:sz w:val="24"/>
          <w:szCs w:val="24"/>
        </w:rPr>
        <w:t>c</w:t>
      </w:r>
      <w:r w:rsidR="00532DB6" w:rsidRPr="006F7F01">
        <w:rPr>
          <w:rFonts w:ascii="Times New Roman" w:hAnsi="Times New Roman" w:cs="Times New Roman"/>
          <w:noProof/>
          <w:sz w:val="24"/>
          <w:szCs w:val="24"/>
        </w:rPr>
        <w:t>eedings</w:t>
      </w:r>
      <w:r w:rsidR="00C2151F" w:rsidRPr="006F7F01">
        <w:rPr>
          <w:rFonts w:ascii="Times New Roman" w:hAnsi="Times New Roman" w:cs="Times New Roman"/>
          <w:noProof/>
          <w:sz w:val="24"/>
          <w:szCs w:val="24"/>
        </w:rPr>
        <w:t xml:space="preserve"> concerning money laundering have been concluded</w:t>
      </w:r>
      <w:r w:rsidR="00D10F3D" w:rsidRPr="006F7F01">
        <w:rPr>
          <w:rFonts w:ascii="Times New Roman" w:hAnsi="Times New Roman" w:cs="Times New Roman"/>
          <w:noProof/>
          <w:sz w:val="24"/>
          <w:szCs w:val="24"/>
        </w:rPr>
        <w:t>.</w:t>
      </w:r>
    </w:p>
    <w:p w14:paraId="37B7AEF5" w14:textId="77777777" w:rsidR="006F7F01" w:rsidRPr="00F02686" w:rsidRDefault="003C13DC" w:rsidP="00F02686">
      <w:pPr>
        <w:jc w:val="both"/>
        <w:rPr>
          <w:rFonts w:ascii="Times New Roman" w:hAnsi="Times New Roman" w:cs="Times New Roman"/>
          <w:noProof/>
          <w:sz w:val="24"/>
          <w:szCs w:val="24"/>
        </w:rPr>
      </w:pPr>
      <w:r w:rsidRPr="00F02686">
        <w:rPr>
          <w:rFonts w:ascii="Times New Roman" w:hAnsi="Times New Roman" w:cs="Times New Roman"/>
          <w:noProof/>
          <w:sz w:val="24"/>
          <w:szCs w:val="24"/>
        </w:rPr>
        <w:t>Finally, the evaluation assesses whether the administrative burden (including monitoring and reporting) could be simplified or reduced without undermining the intended objectives of the Directive. Considering the limited administrative burden that the Directive entails (confined to the legislative steps to transpose the Directive and the updating of training curricula for competent authorities), and the absence of reporting obligations incumbent upon Member States, the evaluation has not identified any opportunities for simplifying the Directive</w:t>
      </w:r>
    </w:p>
    <w:p w14:paraId="2748B0DC" w14:textId="77777777" w:rsidR="006F7F01" w:rsidRDefault="006F7F01" w:rsidP="008A47B8">
      <w:pPr>
        <w:pStyle w:val="Heading4"/>
        <w:rPr>
          <w:rFonts w:ascii="Times New Roman" w:hAnsi="Times New Roman" w:cs="Times New Roman"/>
          <w:noProof/>
          <w:sz w:val="24"/>
          <w:szCs w:val="24"/>
        </w:rPr>
      </w:pPr>
    </w:p>
    <w:bookmarkEnd w:id="37"/>
    <w:p w14:paraId="0BB24734" w14:textId="72CE0B9C" w:rsidR="00AF096A" w:rsidRDefault="00412F5A" w:rsidP="008A47B8">
      <w:pPr>
        <w:pStyle w:val="Heading4"/>
        <w:rPr>
          <w:rFonts w:ascii="Times New Roman" w:hAnsi="Times New Roman" w:cs="Times New Roman"/>
          <w:b/>
          <w:bCs/>
          <w:i w:val="0"/>
          <w:iCs w:val="0"/>
          <w:noProof/>
          <w:color w:val="000000" w:themeColor="text1"/>
          <w:sz w:val="24"/>
          <w:szCs w:val="24"/>
          <w:lang w:val="en-IE"/>
        </w:rPr>
      </w:pPr>
      <w:r w:rsidRPr="008A47B8">
        <w:rPr>
          <w:rFonts w:ascii="Times New Roman" w:hAnsi="Times New Roman" w:cs="Times New Roman"/>
          <w:b/>
          <w:bCs/>
          <w:i w:val="0"/>
          <w:iCs w:val="0"/>
          <w:noProof/>
          <w:color w:val="000000" w:themeColor="text1"/>
          <w:sz w:val="24"/>
          <w:szCs w:val="24"/>
          <w:lang w:val="en-IE"/>
        </w:rPr>
        <w:t>4.1.3. Coherence</w:t>
      </w:r>
    </w:p>
    <w:p w14:paraId="6C505CD8" w14:textId="77777777" w:rsidR="000A6693" w:rsidRPr="00F02686" w:rsidRDefault="000A6693" w:rsidP="00F02686">
      <w:pPr>
        <w:rPr>
          <w:i/>
          <w:iCs/>
          <w:noProof/>
          <w:lang w:val="en-IE"/>
        </w:rPr>
      </w:pPr>
    </w:p>
    <w:tbl>
      <w:tblPr>
        <w:tblStyle w:val="TableGrid"/>
        <w:tblW w:w="0" w:type="auto"/>
        <w:tblLook w:val="04A0" w:firstRow="1" w:lastRow="0" w:firstColumn="1" w:lastColumn="0" w:noHBand="0" w:noVBand="1"/>
      </w:tblPr>
      <w:tblGrid>
        <w:gridCol w:w="8861"/>
      </w:tblGrid>
      <w:tr w:rsidR="000A6693" w:rsidRPr="00005FD1" w14:paraId="3F1BF588" w14:textId="77777777">
        <w:tc>
          <w:tcPr>
            <w:tcW w:w="8861" w:type="dxa"/>
          </w:tcPr>
          <w:p w14:paraId="752BDAD4" w14:textId="77777777" w:rsidR="000A6693" w:rsidRPr="003F06EB" w:rsidRDefault="000A6693">
            <w:pPr>
              <w:rPr>
                <w:b/>
                <w:bCs/>
                <w:noProof/>
                <w:color w:val="000000" w:themeColor="text1"/>
                <w:lang w:val="en-IE"/>
              </w:rPr>
            </w:pPr>
            <w:r w:rsidRPr="003F06EB">
              <w:rPr>
                <w:b/>
                <w:bCs/>
                <w:noProof/>
                <w:color w:val="000000" w:themeColor="text1"/>
                <w:lang w:val="en-IE"/>
              </w:rPr>
              <w:t>Main findings:</w:t>
            </w:r>
          </w:p>
          <w:p w14:paraId="6BFA39CA" w14:textId="51315996" w:rsidR="001B4CA4" w:rsidRPr="00F02686" w:rsidRDefault="001B4CA4" w:rsidP="001B4CA4">
            <w:pPr>
              <w:pStyle w:val="ListParagraph"/>
              <w:numPr>
                <w:ilvl w:val="0"/>
                <w:numId w:val="57"/>
              </w:numPr>
              <w:spacing w:after="0"/>
              <w:rPr>
                <w:noProof/>
                <w:color w:val="000000" w:themeColor="text1"/>
                <w:sz w:val="20"/>
                <w:lang w:val="en-IE"/>
              </w:rPr>
            </w:pPr>
            <w:r w:rsidRPr="001B4CA4">
              <w:rPr>
                <w:b/>
                <w:bCs/>
                <w:noProof/>
                <w:color w:val="000000" w:themeColor="text1"/>
                <w:sz w:val="20"/>
                <w:lang w:val="en-IE"/>
              </w:rPr>
              <w:t>Internal coherence</w:t>
            </w:r>
            <w:r>
              <w:rPr>
                <w:b/>
                <w:bCs/>
                <w:noProof/>
                <w:color w:val="000000" w:themeColor="text1"/>
                <w:sz w:val="20"/>
                <w:lang w:val="en-IE"/>
              </w:rPr>
              <w:t>:</w:t>
            </w:r>
            <w:r w:rsidRPr="001B4CA4">
              <w:rPr>
                <w:b/>
                <w:bCs/>
                <w:noProof/>
                <w:color w:val="000000" w:themeColor="text1"/>
                <w:sz w:val="20"/>
                <w:lang w:val="en-IE"/>
              </w:rPr>
              <w:t xml:space="preserve"> </w:t>
            </w:r>
            <w:r w:rsidRPr="00F02686">
              <w:rPr>
                <w:noProof/>
                <w:color w:val="000000" w:themeColor="text1"/>
                <w:sz w:val="20"/>
                <w:lang w:val="en-IE"/>
              </w:rPr>
              <w:t>No regulatory gaps arise from the Directive.</w:t>
            </w:r>
          </w:p>
          <w:p w14:paraId="4A5D23B8" w14:textId="77777777" w:rsidR="001B4CA4" w:rsidRPr="00F02686" w:rsidRDefault="001B4CA4" w:rsidP="001B4CA4">
            <w:pPr>
              <w:pStyle w:val="ListParagraph"/>
              <w:numPr>
                <w:ilvl w:val="0"/>
                <w:numId w:val="57"/>
              </w:numPr>
              <w:spacing w:after="0"/>
              <w:rPr>
                <w:b/>
                <w:bCs/>
                <w:noProof/>
                <w:color w:val="000000" w:themeColor="text1"/>
                <w:sz w:val="20"/>
                <w:lang w:val="en-IE"/>
              </w:rPr>
            </w:pPr>
            <w:r w:rsidRPr="001B4CA4">
              <w:rPr>
                <w:b/>
                <w:bCs/>
                <w:noProof/>
                <w:color w:val="000000" w:themeColor="text1"/>
                <w:sz w:val="20"/>
                <w:lang w:val="en-IE"/>
              </w:rPr>
              <w:t>External coherence</w:t>
            </w:r>
            <w:r>
              <w:rPr>
                <w:b/>
                <w:bCs/>
                <w:noProof/>
                <w:color w:val="000000" w:themeColor="text1"/>
                <w:sz w:val="20"/>
                <w:lang w:val="en-IE"/>
              </w:rPr>
              <w:t>:</w:t>
            </w:r>
            <w:r w:rsidRPr="001B4CA4">
              <w:rPr>
                <w:b/>
                <w:bCs/>
                <w:noProof/>
                <w:color w:val="000000" w:themeColor="text1"/>
                <w:sz w:val="20"/>
                <w:lang w:val="en-IE"/>
              </w:rPr>
              <w:t xml:space="preserve"> </w:t>
            </w:r>
            <w:r w:rsidRPr="00F02686">
              <w:rPr>
                <w:noProof/>
                <w:color w:val="000000" w:themeColor="text1"/>
                <w:sz w:val="20"/>
                <w:lang w:val="en-IE"/>
              </w:rPr>
              <w:t>The Directive is generally consistent with EU legislation and internal security policies, though minor divergences exist regarding penalties and sanctions against natural and legal persons compared to other EU criminal law instruments.</w:t>
            </w:r>
          </w:p>
          <w:p w14:paraId="130B99E7" w14:textId="24958CF6" w:rsidR="000A6693" w:rsidRPr="00F02686" w:rsidRDefault="001B4CA4" w:rsidP="00F02686">
            <w:pPr>
              <w:pStyle w:val="ListParagraph"/>
              <w:spacing w:after="0"/>
              <w:rPr>
                <w:b/>
                <w:bCs/>
                <w:noProof/>
                <w:color w:val="000000" w:themeColor="text1"/>
                <w:sz w:val="20"/>
                <w:lang w:val="en-IE"/>
              </w:rPr>
            </w:pPr>
            <w:r w:rsidRPr="00F02686">
              <w:rPr>
                <w:noProof/>
                <w:color w:val="000000" w:themeColor="text1"/>
                <w:sz w:val="20"/>
                <w:lang w:val="en-IE"/>
              </w:rPr>
              <w:t>Some elements still hinder full coherence between the CMLD and the international framework. Notably, the Directive adopts a narrower definition of predicate offences than</w:t>
            </w:r>
            <w:r w:rsidR="00380DAA">
              <w:rPr>
                <w:noProof/>
                <w:color w:val="000000" w:themeColor="text1"/>
                <w:sz w:val="20"/>
                <w:lang w:val="en-IE"/>
              </w:rPr>
              <w:t xml:space="preserve"> does</w:t>
            </w:r>
            <w:r w:rsidRPr="00F02686">
              <w:rPr>
                <w:noProof/>
                <w:color w:val="000000" w:themeColor="text1"/>
                <w:sz w:val="20"/>
                <w:lang w:val="en-IE"/>
              </w:rPr>
              <w:t xml:space="preserve"> the Warsaw Convention. However, the Convention </w:t>
            </w:r>
            <w:r w:rsidR="00161F25">
              <w:rPr>
                <w:noProof/>
                <w:color w:val="000000" w:themeColor="text1"/>
                <w:sz w:val="20"/>
                <w:lang w:val="en-IE"/>
              </w:rPr>
              <w:t>allows</w:t>
            </w:r>
            <w:r w:rsidRPr="00F02686">
              <w:rPr>
                <w:noProof/>
                <w:color w:val="000000" w:themeColor="text1"/>
                <w:sz w:val="20"/>
                <w:lang w:val="en-IE"/>
              </w:rPr>
              <w:t xml:space="preserve"> parties, upon accession, to restrict the list of predicate offences via a declaration</w:t>
            </w:r>
            <w:r>
              <w:rPr>
                <w:noProof/>
                <w:color w:val="000000" w:themeColor="text1"/>
                <w:sz w:val="20"/>
                <w:lang w:val="en-IE"/>
              </w:rPr>
              <w:t>.</w:t>
            </w:r>
          </w:p>
        </w:tc>
      </w:tr>
    </w:tbl>
    <w:p w14:paraId="7992484B" w14:textId="77777777" w:rsidR="000A6693" w:rsidRPr="00F02686" w:rsidRDefault="000A6693" w:rsidP="00F02686">
      <w:pPr>
        <w:rPr>
          <w:noProof/>
          <w:lang w:val="en-IE"/>
        </w:rPr>
      </w:pPr>
    </w:p>
    <w:p w14:paraId="44F00625" w14:textId="512F6CB7" w:rsidR="00412F5A" w:rsidRPr="00575CC5" w:rsidRDefault="00412F5A" w:rsidP="00412F5A">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In line with the Better Regulation Guidelines, coherence is assessed in terms of internal and external </w:t>
      </w:r>
      <w:r w:rsidR="00380DAA">
        <w:rPr>
          <w:rFonts w:ascii="Times New Roman" w:hAnsi="Times New Roman" w:cs="Times New Roman"/>
          <w:noProof/>
          <w:sz w:val="24"/>
          <w:szCs w:val="24"/>
          <w:lang w:val="en-IE"/>
        </w:rPr>
        <w:t>coherence</w:t>
      </w:r>
      <w:r w:rsidRPr="00575CC5">
        <w:rPr>
          <w:rFonts w:ascii="Times New Roman" w:hAnsi="Times New Roman" w:cs="Times New Roman"/>
          <w:noProof/>
          <w:sz w:val="24"/>
          <w:szCs w:val="24"/>
          <w:lang w:val="en-IE"/>
        </w:rPr>
        <w:t>. Internal coherence examines how the components of the Criminal</w:t>
      </w:r>
      <w:r w:rsidR="006F6698">
        <w:rPr>
          <w:rFonts w:ascii="Times New Roman" w:hAnsi="Times New Roman" w:cs="Times New Roman"/>
          <w:noProof/>
          <w:sz w:val="24"/>
          <w:szCs w:val="24"/>
          <w:lang w:val="en-IE"/>
        </w:rPr>
        <w:t>isation of</w:t>
      </w:r>
      <w:r w:rsidRPr="00575CC5">
        <w:rPr>
          <w:rFonts w:ascii="Times New Roman" w:hAnsi="Times New Roman" w:cs="Times New Roman"/>
          <w:noProof/>
          <w:sz w:val="24"/>
          <w:szCs w:val="24"/>
          <w:lang w:val="en-IE"/>
        </w:rPr>
        <w:t xml:space="preserve"> Money Laundering Directive (CMLD) work together to achieve its objectives, while external coherence looks at how the Directive interacts with other EU measures, identifying synergies as well as possible overlaps. </w:t>
      </w:r>
    </w:p>
    <w:p w14:paraId="714DF6D2" w14:textId="105A60F1" w:rsidR="00412F5A" w:rsidRPr="00575CC5" w:rsidRDefault="00412F5A" w:rsidP="00412F5A">
      <w:pPr>
        <w:pStyle w:val="Heading4"/>
        <w:rPr>
          <w:rFonts w:ascii="Times New Roman" w:hAnsi="Times New Roman" w:cs="Times New Roman"/>
          <w:b/>
          <w:bCs/>
          <w:i w:val="0"/>
          <w:iCs w:val="0"/>
          <w:noProof/>
          <w:color w:val="000000" w:themeColor="text1"/>
          <w:sz w:val="24"/>
          <w:szCs w:val="24"/>
          <w:lang w:val="en-IE"/>
        </w:rPr>
      </w:pPr>
      <w:r w:rsidRPr="00575CC5">
        <w:rPr>
          <w:rFonts w:ascii="Times New Roman" w:hAnsi="Times New Roman" w:cs="Times New Roman"/>
          <w:b/>
          <w:bCs/>
          <w:i w:val="0"/>
          <w:iCs w:val="0"/>
          <w:noProof/>
          <w:color w:val="000000" w:themeColor="text1"/>
          <w:sz w:val="24"/>
          <w:szCs w:val="24"/>
          <w:lang w:val="en-IE"/>
        </w:rPr>
        <w:t>4.1.3.1. Internal coherence</w:t>
      </w:r>
    </w:p>
    <w:p w14:paraId="19A7E6E9" w14:textId="48B46E59" w:rsidR="00412F5A" w:rsidRPr="00575CC5" w:rsidRDefault="00412F5A" w:rsidP="00412F5A">
      <w:pPr>
        <w:jc w:val="both"/>
        <w:rPr>
          <w:rFonts w:ascii="Times New Roman" w:hAnsi="Times New Roman" w:cs="Times New Roman"/>
          <w:noProof/>
          <w:sz w:val="24"/>
          <w:szCs w:val="24"/>
          <w:lang w:val="en-IE"/>
        </w:rPr>
      </w:pPr>
      <w:r w:rsidRPr="00164E9C">
        <w:rPr>
          <w:rFonts w:ascii="Times New Roman" w:hAnsi="Times New Roman" w:cs="Times New Roman"/>
          <w:noProof/>
          <w:sz w:val="24"/>
          <w:szCs w:val="24"/>
          <w:lang w:val="en-IE"/>
        </w:rPr>
        <w:t xml:space="preserve">Based on the survey results, it appears that there are no regulatory gaps stemming from the </w:t>
      </w:r>
      <w:r w:rsidR="00337D3D" w:rsidRPr="00164E9C">
        <w:rPr>
          <w:rFonts w:ascii="Times New Roman" w:hAnsi="Times New Roman" w:cs="Times New Roman"/>
          <w:noProof/>
          <w:sz w:val="24"/>
          <w:szCs w:val="24"/>
          <w:lang w:val="en-IE"/>
        </w:rPr>
        <w:t>Directive</w:t>
      </w:r>
      <w:r w:rsidRPr="00164E9C">
        <w:rPr>
          <w:rFonts w:ascii="Times New Roman" w:hAnsi="Times New Roman" w:cs="Times New Roman"/>
          <w:noProof/>
          <w:sz w:val="24"/>
          <w:szCs w:val="24"/>
          <w:vertAlign w:val="superscript"/>
        </w:rPr>
        <w:footnoteReference w:id="54"/>
      </w:r>
      <w:r w:rsidRPr="00164E9C">
        <w:rPr>
          <w:rFonts w:ascii="Times New Roman" w:hAnsi="Times New Roman" w:cs="Times New Roman"/>
          <w:noProof/>
          <w:sz w:val="24"/>
          <w:szCs w:val="24"/>
          <w:lang w:val="en-IE"/>
        </w:rPr>
        <w:t xml:space="preserve">. The different stakeholder groups consulted </w:t>
      </w:r>
      <w:r w:rsidRPr="00164E9C">
        <w:rPr>
          <w:rFonts w:ascii="Times New Roman" w:hAnsi="Times New Roman" w:cs="Times New Roman"/>
          <w:b/>
          <w:noProof/>
          <w:sz w:val="24"/>
          <w:szCs w:val="24"/>
          <w:lang w:val="en-IE"/>
        </w:rPr>
        <w:t>(</w:t>
      </w:r>
      <w:r w:rsidR="00D81037">
        <w:rPr>
          <w:rFonts w:ascii="Times New Roman" w:hAnsi="Times New Roman" w:cs="Times New Roman"/>
          <w:b/>
          <w:noProof/>
          <w:sz w:val="24"/>
          <w:szCs w:val="24"/>
          <w:lang w:val="en-IE"/>
        </w:rPr>
        <w:t>j</w:t>
      </w:r>
      <w:r w:rsidR="00D81037" w:rsidRPr="00164E9C">
        <w:rPr>
          <w:rFonts w:ascii="Times New Roman" w:hAnsi="Times New Roman" w:cs="Times New Roman"/>
          <w:b/>
          <w:noProof/>
          <w:sz w:val="24"/>
          <w:szCs w:val="24"/>
          <w:lang w:val="en-IE"/>
        </w:rPr>
        <w:t xml:space="preserve">udicial </w:t>
      </w:r>
      <w:r w:rsidR="006F6698" w:rsidRPr="00164E9C">
        <w:rPr>
          <w:rFonts w:ascii="Times New Roman" w:hAnsi="Times New Roman" w:cs="Times New Roman"/>
          <w:b/>
          <w:noProof/>
          <w:sz w:val="24"/>
          <w:szCs w:val="24"/>
          <w:lang w:val="en-IE"/>
        </w:rPr>
        <w:t>a</w:t>
      </w:r>
      <w:r w:rsidRPr="00164E9C">
        <w:rPr>
          <w:rFonts w:ascii="Times New Roman" w:hAnsi="Times New Roman" w:cs="Times New Roman"/>
          <w:b/>
          <w:noProof/>
          <w:sz w:val="24"/>
          <w:szCs w:val="24"/>
          <w:lang w:val="en-IE"/>
        </w:rPr>
        <w:t xml:space="preserve">uthorities, </w:t>
      </w:r>
      <w:r w:rsidR="006F6698" w:rsidRPr="00164E9C">
        <w:rPr>
          <w:rFonts w:ascii="Times New Roman" w:hAnsi="Times New Roman" w:cs="Times New Roman"/>
          <w:b/>
          <w:noProof/>
          <w:sz w:val="24"/>
          <w:szCs w:val="24"/>
          <w:lang w:val="en-IE"/>
        </w:rPr>
        <w:t>l</w:t>
      </w:r>
      <w:r w:rsidRPr="00164E9C">
        <w:rPr>
          <w:rFonts w:ascii="Times New Roman" w:hAnsi="Times New Roman" w:cs="Times New Roman"/>
          <w:b/>
          <w:noProof/>
          <w:sz w:val="24"/>
          <w:szCs w:val="24"/>
          <w:lang w:val="en-IE"/>
        </w:rPr>
        <w:t xml:space="preserve">aw </w:t>
      </w:r>
      <w:r w:rsidR="006F6698" w:rsidRPr="00164E9C">
        <w:rPr>
          <w:rFonts w:ascii="Times New Roman" w:hAnsi="Times New Roman" w:cs="Times New Roman"/>
          <w:b/>
          <w:noProof/>
          <w:sz w:val="24"/>
          <w:szCs w:val="24"/>
          <w:lang w:val="en-IE"/>
        </w:rPr>
        <w:t>e</w:t>
      </w:r>
      <w:r w:rsidRPr="00164E9C">
        <w:rPr>
          <w:rFonts w:ascii="Times New Roman" w:hAnsi="Times New Roman" w:cs="Times New Roman"/>
          <w:b/>
          <w:noProof/>
          <w:sz w:val="24"/>
          <w:szCs w:val="24"/>
          <w:lang w:val="en-IE"/>
        </w:rPr>
        <w:t xml:space="preserve">nforcement </w:t>
      </w:r>
      <w:r w:rsidR="006F6698" w:rsidRPr="00164E9C">
        <w:rPr>
          <w:rFonts w:ascii="Times New Roman" w:hAnsi="Times New Roman" w:cs="Times New Roman"/>
          <w:b/>
          <w:noProof/>
          <w:sz w:val="24"/>
          <w:szCs w:val="24"/>
          <w:lang w:val="en-IE"/>
        </w:rPr>
        <w:t>a</w:t>
      </w:r>
      <w:r w:rsidRPr="00164E9C">
        <w:rPr>
          <w:rFonts w:ascii="Times New Roman" w:hAnsi="Times New Roman" w:cs="Times New Roman"/>
          <w:b/>
          <w:noProof/>
          <w:sz w:val="24"/>
          <w:szCs w:val="24"/>
          <w:lang w:val="en-IE"/>
        </w:rPr>
        <w:t>uthorities, Financial Intelligence Units, and Asset Recovery Offices</w:t>
      </w:r>
      <w:r w:rsidRPr="00164E9C">
        <w:rPr>
          <w:rFonts w:ascii="Times New Roman" w:hAnsi="Times New Roman" w:cs="Times New Roman"/>
          <w:noProof/>
          <w:sz w:val="24"/>
          <w:szCs w:val="24"/>
          <w:lang w:val="en-IE"/>
        </w:rPr>
        <w:t>) concur that the CMLD</w:t>
      </w:r>
      <w:r w:rsidR="00337D3D" w:rsidRPr="00164E9C">
        <w:rPr>
          <w:rFonts w:ascii="Times New Roman" w:hAnsi="Times New Roman" w:cs="Times New Roman"/>
          <w:noProof/>
          <w:sz w:val="24"/>
          <w:szCs w:val="24"/>
          <w:lang w:val="en-IE"/>
        </w:rPr>
        <w:t xml:space="preserve"> Directive</w:t>
      </w:r>
      <w:r w:rsidRPr="00164E9C">
        <w:rPr>
          <w:rFonts w:ascii="Times New Roman" w:hAnsi="Times New Roman" w:cs="Times New Roman"/>
          <w:noProof/>
          <w:sz w:val="24"/>
          <w:szCs w:val="24"/>
          <w:lang w:val="en-IE"/>
        </w:rPr>
        <w:t xml:space="preserve"> does not present any </w:t>
      </w:r>
      <w:r w:rsidR="00532DB6">
        <w:rPr>
          <w:rFonts w:ascii="Times New Roman" w:hAnsi="Times New Roman" w:cs="Times New Roman"/>
          <w:noProof/>
          <w:sz w:val="24"/>
          <w:szCs w:val="24"/>
          <w:lang w:val="en-IE"/>
        </w:rPr>
        <w:t>instances</w:t>
      </w:r>
      <w:r w:rsidR="002442C3">
        <w:rPr>
          <w:rFonts w:ascii="Times New Roman" w:hAnsi="Times New Roman" w:cs="Times New Roman"/>
          <w:noProof/>
          <w:sz w:val="24"/>
          <w:szCs w:val="24"/>
          <w:lang w:val="en-IE"/>
        </w:rPr>
        <w:t xml:space="preserve"> of </w:t>
      </w:r>
      <w:r w:rsidRPr="00164E9C">
        <w:rPr>
          <w:rFonts w:ascii="Times New Roman" w:hAnsi="Times New Roman" w:cs="Times New Roman"/>
          <w:noProof/>
          <w:sz w:val="24"/>
          <w:szCs w:val="24"/>
          <w:lang w:val="en-IE"/>
        </w:rPr>
        <w:t>internal incoherencies. The different components of the Directive</w:t>
      </w:r>
      <w:r w:rsidRPr="00575CC5">
        <w:rPr>
          <w:rFonts w:ascii="Times New Roman" w:hAnsi="Times New Roman" w:cs="Times New Roman"/>
          <w:noProof/>
          <w:sz w:val="24"/>
          <w:szCs w:val="24"/>
          <w:lang w:val="en-IE"/>
        </w:rPr>
        <w:t xml:space="preserve"> are working well together in achieving its objectives.</w:t>
      </w:r>
    </w:p>
    <w:p w14:paraId="58ECBEE9" w14:textId="6364824E" w:rsidR="00412F5A" w:rsidRPr="00575CC5" w:rsidRDefault="00412F5A" w:rsidP="00412F5A">
      <w:pPr>
        <w:pStyle w:val="Heading4"/>
        <w:rPr>
          <w:rFonts w:ascii="Times New Roman" w:hAnsi="Times New Roman" w:cs="Times New Roman"/>
          <w:b/>
          <w:i w:val="0"/>
          <w:iCs w:val="0"/>
          <w:noProof/>
          <w:color w:val="000000" w:themeColor="text1"/>
          <w:sz w:val="24"/>
          <w:szCs w:val="24"/>
          <w:lang w:val="en-IE"/>
        </w:rPr>
      </w:pPr>
      <w:r w:rsidRPr="00575CC5">
        <w:rPr>
          <w:rFonts w:ascii="Times New Roman" w:hAnsi="Times New Roman" w:cs="Times New Roman"/>
          <w:b/>
          <w:i w:val="0"/>
          <w:iCs w:val="0"/>
          <w:noProof/>
          <w:color w:val="000000" w:themeColor="text1"/>
          <w:sz w:val="24"/>
          <w:szCs w:val="24"/>
          <w:lang w:val="en-IE"/>
        </w:rPr>
        <w:t>4.1.3.2 External coherence</w:t>
      </w:r>
    </w:p>
    <w:p w14:paraId="0F5D42E3" w14:textId="340D125B" w:rsidR="00412F5A" w:rsidRPr="00575CC5" w:rsidRDefault="006F6698" w:rsidP="00412F5A">
      <w:pPr>
        <w:jc w:val="both"/>
        <w:rPr>
          <w:rFonts w:ascii="Times New Roman" w:hAnsi="Times New Roman" w:cs="Times New Roman"/>
          <w:b/>
          <w:noProof/>
          <w:color w:val="000000" w:themeColor="text1"/>
          <w:sz w:val="24"/>
          <w:szCs w:val="24"/>
          <w:lang w:val="en-IE"/>
        </w:rPr>
      </w:pPr>
      <w:r>
        <w:rPr>
          <w:rFonts w:ascii="Times New Roman" w:hAnsi="Times New Roman" w:cs="Times New Roman"/>
          <w:noProof/>
          <w:color w:val="000000" w:themeColor="text1"/>
          <w:sz w:val="24"/>
          <w:szCs w:val="24"/>
          <w:lang w:val="en-IE"/>
        </w:rPr>
        <w:t>At international level, t</w:t>
      </w:r>
      <w:r w:rsidR="00412F5A" w:rsidRPr="00575CC5">
        <w:rPr>
          <w:rFonts w:ascii="Times New Roman" w:hAnsi="Times New Roman" w:cs="Times New Roman"/>
          <w:noProof/>
          <w:color w:val="000000" w:themeColor="text1"/>
          <w:sz w:val="24"/>
          <w:szCs w:val="24"/>
          <w:lang w:val="en-IE"/>
        </w:rPr>
        <w:t xml:space="preserve">he </w:t>
      </w:r>
      <w:r w:rsidR="00412F5A" w:rsidRPr="00575CC5">
        <w:rPr>
          <w:rFonts w:ascii="Times New Roman" w:hAnsi="Times New Roman" w:cs="Times New Roman"/>
          <w:b/>
          <w:bCs/>
          <w:noProof/>
          <w:color w:val="000000" w:themeColor="text1"/>
          <w:sz w:val="24"/>
          <w:szCs w:val="24"/>
          <w:lang w:val="en-IE"/>
        </w:rPr>
        <w:t>international framework</w:t>
      </w:r>
      <w:r w:rsidR="00412F5A" w:rsidRPr="00575CC5">
        <w:rPr>
          <w:rFonts w:ascii="Times New Roman" w:hAnsi="Times New Roman" w:cs="Times New Roman"/>
          <w:noProof/>
          <w:color w:val="000000" w:themeColor="text1"/>
          <w:sz w:val="24"/>
          <w:szCs w:val="24"/>
          <w:lang w:val="en-IE"/>
        </w:rPr>
        <w:t xml:space="preserve"> against money laundering is largely shaped by the 2003 United Nations Convention against Transnational Organised Crime (</w:t>
      </w:r>
      <w:r w:rsidR="00727510" w:rsidRPr="00575CC5">
        <w:rPr>
          <w:rFonts w:ascii="Times New Roman" w:hAnsi="Times New Roman" w:cs="Times New Roman"/>
          <w:noProof/>
          <w:color w:val="000000" w:themeColor="text1"/>
          <w:sz w:val="24"/>
          <w:szCs w:val="24"/>
          <w:lang w:val="en-IE"/>
        </w:rPr>
        <w:t>UNTOC</w:t>
      </w:r>
      <w:r w:rsidR="00412F5A" w:rsidRPr="00575CC5">
        <w:rPr>
          <w:rFonts w:ascii="Times New Roman" w:hAnsi="Times New Roman" w:cs="Times New Roman"/>
          <w:noProof/>
          <w:color w:val="000000" w:themeColor="text1"/>
          <w:sz w:val="24"/>
          <w:szCs w:val="24"/>
          <w:lang w:val="en-IE"/>
        </w:rPr>
        <w:t xml:space="preserve">) and its Protocols, the United Nations Convention against Corruption (UNCAC), the 2005 Warsaw Convention, as well as the </w:t>
      </w:r>
      <w:r w:rsidR="002442C3">
        <w:rPr>
          <w:rFonts w:ascii="Times New Roman" w:hAnsi="Times New Roman" w:cs="Times New Roman"/>
          <w:noProof/>
          <w:color w:val="000000" w:themeColor="text1"/>
          <w:sz w:val="24"/>
          <w:szCs w:val="24"/>
          <w:lang w:val="en-IE"/>
        </w:rPr>
        <w:t>r</w:t>
      </w:r>
      <w:r w:rsidR="002442C3" w:rsidRPr="00575CC5">
        <w:rPr>
          <w:rFonts w:ascii="Times New Roman" w:hAnsi="Times New Roman" w:cs="Times New Roman"/>
          <w:noProof/>
          <w:color w:val="000000" w:themeColor="text1"/>
          <w:sz w:val="24"/>
          <w:szCs w:val="24"/>
          <w:lang w:val="en-IE"/>
        </w:rPr>
        <w:t xml:space="preserve">ecommendations </w:t>
      </w:r>
      <w:r w:rsidR="00412F5A" w:rsidRPr="00575CC5">
        <w:rPr>
          <w:rFonts w:ascii="Times New Roman" w:hAnsi="Times New Roman" w:cs="Times New Roman"/>
          <w:noProof/>
          <w:color w:val="000000" w:themeColor="text1"/>
          <w:sz w:val="24"/>
          <w:szCs w:val="24"/>
          <w:lang w:val="en-IE"/>
        </w:rPr>
        <w:t xml:space="preserve">of the Financial Action Task Force (FATF). </w:t>
      </w:r>
      <w:r w:rsidR="00727510" w:rsidRPr="00575CC5">
        <w:rPr>
          <w:rFonts w:ascii="Times New Roman" w:hAnsi="Times New Roman" w:cs="Times New Roman"/>
          <w:noProof/>
          <w:color w:val="000000" w:themeColor="text1"/>
          <w:sz w:val="24"/>
          <w:szCs w:val="24"/>
          <w:lang w:val="en-IE"/>
        </w:rPr>
        <w:t xml:space="preserve">The </w:t>
      </w:r>
      <w:r w:rsidR="00694FCA">
        <w:rPr>
          <w:rFonts w:ascii="Times New Roman" w:hAnsi="Times New Roman" w:cs="Times New Roman"/>
          <w:noProof/>
          <w:color w:val="000000" w:themeColor="text1"/>
          <w:sz w:val="24"/>
          <w:szCs w:val="24"/>
          <w:lang w:val="en-IE"/>
        </w:rPr>
        <w:t>Directive</w:t>
      </w:r>
      <w:r w:rsidR="00727510" w:rsidRPr="00575CC5">
        <w:rPr>
          <w:rFonts w:ascii="Times New Roman" w:hAnsi="Times New Roman" w:cs="Times New Roman"/>
          <w:noProof/>
          <w:color w:val="000000" w:themeColor="text1"/>
          <w:sz w:val="24"/>
          <w:szCs w:val="24"/>
          <w:lang w:val="en-IE"/>
        </w:rPr>
        <w:t xml:space="preserve"> </w:t>
      </w:r>
      <w:r w:rsidR="00412F5A" w:rsidRPr="00575CC5">
        <w:rPr>
          <w:rFonts w:ascii="Times New Roman" w:hAnsi="Times New Roman" w:cs="Times New Roman"/>
          <w:noProof/>
          <w:color w:val="000000" w:themeColor="text1"/>
          <w:sz w:val="24"/>
          <w:szCs w:val="24"/>
          <w:lang w:val="en-IE"/>
        </w:rPr>
        <w:t>contribute</w:t>
      </w:r>
      <w:r w:rsidR="00727510" w:rsidRPr="00575CC5">
        <w:rPr>
          <w:rFonts w:ascii="Times New Roman" w:hAnsi="Times New Roman" w:cs="Times New Roman"/>
          <w:noProof/>
          <w:color w:val="000000" w:themeColor="text1"/>
          <w:sz w:val="24"/>
          <w:szCs w:val="24"/>
          <w:lang w:val="en-IE"/>
        </w:rPr>
        <w:t>s</w:t>
      </w:r>
      <w:r w:rsidR="00412F5A" w:rsidRPr="00575CC5">
        <w:rPr>
          <w:rFonts w:ascii="Times New Roman" w:hAnsi="Times New Roman" w:cs="Times New Roman"/>
          <w:noProof/>
          <w:color w:val="000000" w:themeColor="text1"/>
          <w:sz w:val="24"/>
          <w:szCs w:val="24"/>
          <w:lang w:val="en-IE"/>
        </w:rPr>
        <w:t xml:space="preserve"> to the facilitation of international cooperation</w:t>
      </w:r>
      <w:r w:rsidR="00727510" w:rsidRPr="00575CC5">
        <w:rPr>
          <w:rFonts w:ascii="Times New Roman" w:hAnsi="Times New Roman" w:cs="Times New Roman"/>
          <w:noProof/>
          <w:color w:val="000000" w:themeColor="text1"/>
          <w:sz w:val="24"/>
          <w:szCs w:val="24"/>
          <w:lang w:val="en-IE"/>
        </w:rPr>
        <w:t xml:space="preserve"> efforts achieved under </w:t>
      </w:r>
      <w:r w:rsidR="000F6C66" w:rsidRPr="00575CC5">
        <w:rPr>
          <w:rFonts w:ascii="Times New Roman" w:hAnsi="Times New Roman" w:cs="Times New Roman"/>
          <w:noProof/>
          <w:color w:val="000000" w:themeColor="text1"/>
          <w:sz w:val="24"/>
          <w:szCs w:val="24"/>
          <w:lang w:val="en-IE"/>
        </w:rPr>
        <w:t>these instruments</w:t>
      </w:r>
      <w:r w:rsidR="00412F5A" w:rsidRPr="00575CC5">
        <w:rPr>
          <w:rFonts w:ascii="Times New Roman" w:hAnsi="Times New Roman" w:cs="Times New Roman"/>
          <w:noProof/>
          <w:color w:val="000000" w:themeColor="text1"/>
          <w:sz w:val="24"/>
          <w:szCs w:val="24"/>
          <w:lang w:val="en-IE"/>
        </w:rPr>
        <w:t xml:space="preserve">, </w:t>
      </w:r>
      <w:r w:rsidR="00C33A9E" w:rsidRPr="00575CC5">
        <w:rPr>
          <w:rFonts w:ascii="Times New Roman" w:hAnsi="Times New Roman" w:cs="Times New Roman"/>
          <w:noProof/>
          <w:color w:val="000000" w:themeColor="text1"/>
          <w:sz w:val="24"/>
          <w:szCs w:val="24"/>
          <w:lang w:val="en-IE"/>
        </w:rPr>
        <w:t xml:space="preserve">to the extent that it is aligned </w:t>
      </w:r>
      <w:r w:rsidR="00A412D2" w:rsidRPr="00575CC5">
        <w:rPr>
          <w:rFonts w:ascii="Times New Roman" w:hAnsi="Times New Roman" w:cs="Times New Roman"/>
          <w:noProof/>
          <w:color w:val="000000" w:themeColor="text1"/>
          <w:sz w:val="24"/>
          <w:szCs w:val="24"/>
          <w:lang w:val="en-IE"/>
        </w:rPr>
        <w:t>and, in some instances,</w:t>
      </w:r>
      <w:r w:rsidR="00C33A9E" w:rsidRPr="00575CC5">
        <w:rPr>
          <w:rFonts w:ascii="Times New Roman" w:hAnsi="Times New Roman" w:cs="Times New Roman"/>
          <w:noProof/>
          <w:color w:val="000000" w:themeColor="text1"/>
          <w:sz w:val="24"/>
          <w:szCs w:val="24"/>
          <w:lang w:val="en-IE"/>
        </w:rPr>
        <w:t xml:space="preserve"> goes beyond the provisions of these instruments</w:t>
      </w:r>
      <w:r>
        <w:rPr>
          <w:rFonts w:ascii="Times New Roman" w:hAnsi="Times New Roman" w:cs="Times New Roman"/>
          <w:noProof/>
          <w:color w:val="000000" w:themeColor="text1"/>
          <w:sz w:val="24"/>
          <w:szCs w:val="24"/>
          <w:lang w:val="en-IE"/>
        </w:rPr>
        <w:t>, ensuring external coherence</w:t>
      </w:r>
      <w:r w:rsidR="00412F5A" w:rsidRPr="00575CC5">
        <w:rPr>
          <w:rFonts w:ascii="Times New Roman" w:hAnsi="Times New Roman" w:cs="Times New Roman"/>
          <w:noProof/>
          <w:color w:val="000000" w:themeColor="text1"/>
          <w:sz w:val="24"/>
          <w:szCs w:val="24"/>
          <w:vertAlign w:val="superscript"/>
          <w:lang w:val="en-IE"/>
        </w:rPr>
        <w:footnoteReference w:id="55"/>
      </w:r>
      <w:r w:rsidR="00412F5A" w:rsidRPr="00575CC5">
        <w:rPr>
          <w:rFonts w:ascii="Times New Roman" w:hAnsi="Times New Roman" w:cs="Times New Roman"/>
          <w:noProof/>
          <w:color w:val="000000" w:themeColor="text1"/>
          <w:sz w:val="24"/>
          <w:szCs w:val="24"/>
          <w:lang w:val="en-IE"/>
        </w:rPr>
        <w:t xml:space="preserve">. </w:t>
      </w:r>
    </w:p>
    <w:p w14:paraId="4444129C" w14:textId="78B9B2C3" w:rsidR="00380DAA" w:rsidRDefault="00412F5A" w:rsidP="00412F5A">
      <w:pPr>
        <w:jc w:val="both"/>
        <w:rPr>
          <w:rFonts w:ascii="Times New Roman" w:hAnsi="Times New Roman" w:cs="Times New Roman"/>
          <w:noProof/>
          <w:sz w:val="24"/>
          <w:szCs w:val="24"/>
        </w:rPr>
      </w:pPr>
      <w:r w:rsidRPr="67C7A698">
        <w:rPr>
          <w:rFonts w:ascii="Times New Roman" w:hAnsi="Times New Roman" w:cs="Times New Roman"/>
          <w:noProof/>
          <w:color w:val="000000" w:themeColor="text1"/>
          <w:sz w:val="24"/>
          <w:szCs w:val="24"/>
          <w:lang w:val="en-IE"/>
        </w:rPr>
        <w:t xml:space="preserve">Despite this general alignment, some elements hamper full </w:t>
      </w:r>
      <w:r w:rsidR="00375381">
        <w:rPr>
          <w:rFonts w:ascii="Times New Roman" w:hAnsi="Times New Roman" w:cs="Times New Roman"/>
          <w:noProof/>
          <w:color w:val="000000" w:themeColor="text1"/>
          <w:sz w:val="24"/>
          <w:szCs w:val="24"/>
          <w:lang w:val="en-IE"/>
        </w:rPr>
        <w:t>consistency</w:t>
      </w:r>
      <w:r w:rsidR="00375381" w:rsidRPr="67C7A698">
        <w:rPr>
          <w:rFonts w:ascii="Times New Roman" w:hAnsi="Times New Roman" w:cs="Times New Roman"/>
          <w:noProof/>
          <w:color w:val="000000" w:themeColor="text1"/>
          <w:sz w:val="24"/>
          <w:szCs w:val="24"/>
          <w:lang w:val="en-IE"/>
        </w:rPr>
        <w:t xml:space="preserve"> </w:t>
      </w:r>
      <w:r w:rsidRPr="67C7A698">
        <w:rPr>
          <w:rFonts w:ascii="Times New Roman" w:hAnsi="Times New Roman" w:cs="Times New Roman"/>
          <w:noProof/>
          <w:color w:val="000000" w:themeColor="text1"/>
          <w:sz w:val="24"/>
          <w:szCs w:val="24"/>
          <w:lang w:val="en-IE"/>
        </w:rPr>
        <w:t>between the CMLD and the international framework. Most notably, the Directive restricts the scope of predicate offences in its Article 2(1) to crimes punishable by more than one year’s imprisonment (or by more than six months in certain cases) and to those belonging to specifically listed categories. This narrower scope contrasts with the broader approach of</w:t>
      </w:r>
      <w:r w:rsidR="47B3A29A" w:rsidRPr="67C7A698">
        <w:rPr>
          <w:rFonts w:ascii="Times New Roman" w:hAnsi="Times New Roman" w:cs="Times New Roman"/>
          <w:noProof/>
          <w:color w:val="000000" w:themeColor="text1"/>
          <w:sz w:val="24"/>
          <w:szCs w:val="24"/>
          <w:lang w:val="en-IE"/>
        </w:rPr>
        <w:t xml:space="preserve"> the Warsaw Convention</w:t>
      </w:r>
      <w:r w:rsidR="000F380C" w:rsidRPr="67C7A698">
        <w:rPr>
          <w:rFonts w:ascii="Times New Roman" w:hAnsi="Times New Roman" w:cs="Times New Roman"/>
          <w:noProof/>
          <w:color w:val="000000" w:themeColor="text1"/>
          <w:sz w:val="24"/>
          <w:szCs w:val="24"/>
          <w:lang w:val="en-IE"/>
        </w:rPr>
        <w:t xml:space="preserve">, which defines the predicate offences for money laundering as </w:t>
      </w:r>
      <w:r w:rsidR="00ED7744">
        <w:rPr>
          <w:rFonts w:ascii="Times New Roman" w:hAnsi="Times New Roman" w:cs="Times New Roman"/>
          <w:noProof/>
          <w:color w:val="000000" w:themeColor="text1"/>
          <w:sz w:val="24"/>
          <w:szCs w:val="24"/>
          <w:lang w:val="en-IE"/>
        </w:rPr>
        <w:t>‘</w:t>
      </w:r>
      <w:r w:rsidR="000F380C" w:rsidRPr="67C7A698">
        <w:rPr>
          <w:rFonts w:ascii="Times New Roman" w:hAnsi="Times New Roman" w:cs="Times New Roman"/>
          <w:noProof/>
          <w:color w:val="000000" w:themeColor="text1"/>
          <w:sz w:val="24"/>
          <w:szCs w:val="24"/>
          <w:lang w:val="en-IE"/>
        </w:rPr>
        <w:t>any c</w:t>
      </w:r>
      <w:r w:rsidR="000F380C" w:rsidRPr="67C7A698">
        <w:rPr>
          <w:rFonts w:ascii="Times New Roman" w:hAnsi="Times New Roman" w:cs="Times New Roman"/>
          <w:noProof/>
          <w:color w:val="000000" w:themeColor="text1"/>
          <w:sz w:val="24"/>
          <w:szCs w:val="24"/>
        </w:rPr>
        <w:t>riminal offence</w:t>
      </w:r>
      <w:r w:rsidR="00513BBC">
        <w:rPr>
          <w:rFonts w:ascii="Times New Roman" w:hAnsi="Times New Roman" w:cs="Times New Roman"/>
          <w:noProof/>
          <w:color w:val="000000" w:themeColor="text1"/>
          <w:sz w:val="24"/>
          <w:szCs w:val="24"/>
        </w:rPr>
        <w:t xml:space="preserve">’, </w:t>
      </w:r>
      <w:r w:rsidR="000F380C" w:rsidRPr="67C7A698">
        <w:rPr>
          <w:rFonts w:ascii="Times New Roman" w:hAnsi="Times New Roman" w:cs="Times New Roman"/>
          <w:noProof/>
          <w:color w:val="000000" w:themeColor="text1"/>
          <w:sz w:val="24"/>
          <w:szCs w:val="24"/>
        </w:rPr>
        <w:t>regardless of the punishment (Art</w:t>
      </w:r>
      <w:r w:rsidR="00ED7744">
        <w:rPr>
          <w:rFonts w:ascii="Times New Roman" w:hAnsi="Times New Roman" w:cs="Times New Roman"/>
          <w:noProof/>
          <w:color w:val="000000" w:themeColor="text1"/>
          <w:sz w:val="24"/>
          <w:szCs w:val="24"/>
        </w:rPr>
        <w:t>icle</w:t>
      </w:r>
      <w:r w:rsidR="000F380C" w:rsidRPr="67C7A698">
        <w:rPr>
          <w:rFonts w:ascii="Times New Roman" w:hAnsi="Times New Roman" w:cs="Times New Roman"/>
          <w:noProof/>
          <w:color w:val="000000" w:themeColor="text1"/>
          <w:sz w:val="24"/>
          <w:szCs w:val="24"/>
        </w:rPr>
        <w:t xml:space="preserve"> 1, </w:t>
      </w:r>
      <w:r w:rsidR="2E88560F" w:rsidRPr="67C7A698">
        <w:rPr>
          <w:rFonts w:ascii="Times New Roman" w:hAnsi="Times New Roman" w:cs="Times New Roman"/>
          <w:noProof/>
          <w:color w:val="000000" w:themeColor="text1"/>
          <w:sz w:val="24"/>
          <w:szCs w:val="24"/>
        </w:rPr>
        <w:t xml:space="preserve">lit. </w:t>
      </w:r>
      <w:r w:rsidR="000F380C" w:rsidRPr="67C7A698">
        <w:rPr>
          <w:rFonts w:ascii="Times New Roman" w:hAnsi="Times New Roman" w:cs="Times New Roman"/>
          <w:noProof/>
          <w:color w:val="000000" w:themeColor="text1"/>
          <w:sz w:val="24"/>
          <w:szCs w:val="24"/>
        </w:rPr>
        <w:t>e).</w:t>
      </w:r>
      <w:r w:rsidR="00337D3D">
        <w:rPr>
          <w:rFonts w:ascii="Times New Roman" w:hAnsi="Times New Roman" w:cs="Times New Roman"/>
          <w:noProof/>
          <w:color w:val="000000" w:themeColor="text1"/>
          <w:sz w:val="24"/>
          <w:szCs w:val="24"/>
        </w:rPr>
        <w:t xml:space="preserve"> </w:t>
      </w:r>
      <w:r w:rsidR="05C86D94" w:rsidRPr="00A56091">
        <w:rPr>
          <w:rFonts w:ascii="Times New Roman" w:hAnsi="Times New Roman" w:cs="Times New Roman"/>
          <w:noProof/>
          <w:sz w:val="24"/>
          <w:szCs w:val="24"/>
        </w:rPr>
        <w:t xml:space="preserve">However, Article 9(4) of the Warsaw Convention </w:t>
      </w:r>
      <w:r w:rsidR="3A3BA8F6" w:rsidRPr="00A56091">
        <w:rPr>
          <w:rFonts w:ascii="Times New Roman" w:hAnsi="Times New Roman" w:cs="Times New Roman"/>
          <w:noProof/>
          <w:sz w:val="24"/>
          <w:szCs w:val="24"/>
        </w:rPr>
        <w:t>permits</w:t>
      </w:r>
      <w:r w:rsidR="05C86D94" w:rsidRPr="00A56091">
        <w:rPr>
          <w:rFonts w:ascii="Times New Roman" w:hAnsi="Times New Roman" w:cs="Times New Roman"/>
          <w:noProof/>
          <w:sz w:val="24"/>
          <w:szCs w:val="24"/>
        </w:rPr>
        <w:t xml:space="preserve"> </w:t>
      </w:r>
      <w:r w:rsidR="00ED7744">
        <w:rPr>
          <w:rFonts w:ascii="Times New Roman" w:hAnsi="Times New Roman" w:cs="Times New Roman"/>
          <w:noProof/>
          <w:sz w:val="24"/>
          <w:szCs w:val="24"/>
        </w:rPr>
        <w:t>p</w:t>
      </w:r>
      <w:r w:rsidR="00ED7744" w:rsidRPr="00A56091">
        <w:rPr>
          <w:rFonts w:ascii="Times New Roman" w:hAnsi="Times New Roman" w:cs="Times New Roman"/>
          <w:noProof/>
          <w:sz w:val="24"/>
          <w:szCs w:val="24"/>
        </w:rPr>
        <w:t>arties</w:t>
      </w:r>
      <w:r w:rsidR="3A3BA8F6" w:rsidRPr="00A56091">
        <w:rPr>
          <w:rFonts w:ascii="Times New Roman" w:hAnsi="Times New Roman" w:cs="Times New Roman"/>
          <w:noProof/>
          <w:sz w:val="24"/>
          <w:szCs w:val="24"/>
        </w:rPr>
        <w:t>, upon accession,</w:t>
      </w:r>
      <w:r w:rsidR="05C86D94" w:rsidRPr="00A56091">
        <w:rPr>
          <w:rFonts w:ascii="Times New Roman" w:hAnsi="Times New Roman" w:cs="Times New Roman"/>
          <w:noProof/>
          <w:sz w:val="24"/>
          <w:szCs w:val="24"/>
        </w:rPr>
        <w:t xml:space="preserve"> to </w:t>
      </w:r>
      <w:r w:rsidR="3A3BA8F6" w:rsidRPr="00A56091">
        <w:rPr>
          <w:rFonts w:ascii="Times New Roman" w:hAnsi="Times New Roman" w:cs="Times New Roman"/>
          <w:noProof/>
          <w:sz w:val="24"/>
          <w:szCs w:val="24"/>
        </w:rPr>
        <w:t>restrict</w:t>
      </w:r>
      <w:r w:rsidR="05C86D94" w:rsidRPr="00A56091">
        <w:rPr>
          <w:rFonts w:ascii="Times New Roman" w:hAnsi="Times New Roman" w:cs="Times New Roman"/>
          <w:noProof/>
          <w:sz w:val="24"/>
          <w:szCs w:val="24"/>
        </w:rPr>
        <w:t xml:space="preserve"> the list o</w:t>
      </w:r>
      <w:r w:rsidR="351E6D23" w:rsidRPr="00A56091">
        <w:rPr>
          <w:rFonts w:ascii="Times New Roman" w:hAnsi="Times New Roman" w:cs="Times New Roman"/>
          <w:noProof/>
          <w:sz w:val="24"/>
          <w:szCs w:val="24"/>
        </w:rPr>
        <w:t xml:space="preserve">f predicate offences </w:t>
      </w:r>
      <w:r w:rsidR="3A3BA8F6" w:rsidRPr="00A56091">
        <w:rPr>
          <w:rFonts w:ascii="Times New Roman" w:hAnsi="Times New Roman" w:cs="Times New Roman"/>
          <w:noProof/>
          <w:sz w:val="24"/>
          <w:szCs w:val="24"/>
        </w:rPr>
        <w:t>through</w:t>
      </w:r>
      <w:r w:rsidR="351E6D23" w:rsidRPr="00A56091">
        <w:rPr>
          <w:rFonts w:ascii="Times New Roman" w:hAnsi="Times New Roman" w:cs="Times New Roman"/>
          <w:noProof/>
          <w:sz w:val="24"/>
          <w:szCs w:val="24"/>
        </w:rPr>
        <w:t xml:space="preserve"> a declaration</w:t>
      </w:r>
      <w:r w:rsidR="3A3BA8F6" w:rsidRPr="00A56091">
        <w:rPr>
          <w:rFonts w:ascii="Times New Roman" w:hAnsi="Times New Roman" w:cs="Times New Roman"/>
          <w:noProof/>
          <w:sz w:val="24"/>
          <w:szCs w:val="24"/>
        </w:rPr>
        <w:t xml:space="preserve"> (it is possible to restrict it</w:t>
      </w:r>
      <w:r w:rsidR="002E0ED7">
        <w:rPr>
          <w:rFonts w:ascii="Times New Roman" w:hAnsi="Times New Roman" w:cs="Times New Roman"/>
          <w:noProof/>
          <w:sz w:val="24"/>
          <w:szCs w:val="24"/>
        </w:rPr>
        <w:t>,</w:t>
      </w:r>
      <w:r w:rsidR="3A3BA8F6" w:rsidRPr="00A56091">
        <w:rPr>
          <w:rFonts w:ascii="Times New Roman" w:hAnsi="Times New Roman" w:cs="Times New Roman"/>
          <w:noProof/>
          <w:sz w:val="24"/>
          <w:szCs w:val="24"/>
        </w:rPr>
        <w:t xml:space="preserve"> as was done in the Directive). The European Union has not yet acceded to the Convention and not yet exercised this option.</w:t>
      </w:r>
    </w:p>
    <w:p w14:paraId="6EB7368F" w14:textId="070BE512" w:rsidR="003673D1" w:rsidRDefault="00412F5A" w:rsidP="00412F5A">
      <w:pPr>
        <w:jc w:val="both"/>
        <w:rPr>
          <w:rFonts w:ascii="Times New Roman" w:hAnsi="Times New Roman" w:cs="Times New Roman"/>
          <w:noProof/>
          <w:color w:val="000000" w:themeColor="text1"/>
          <w:sz w:val="24"/>
          <w:szCs w:val="24"/>
          <w:lang w:val="en-IE"/>
        </w:rPr>
      </w:pPr>
      <w:r w:rsidRPr="00575CC5">
        <w:rPr>
          <w:rFonts w:ascii="Times New Roman" w:hAnsi="Times New Roman" w:cs="Times New Roman"/>
          <w:noProof/>
          <w:color w:val="000000" w:themeColor="text1"/>
          <w:sz w:val="24"/>
          <w:szCs w:val="24"/>
          <w:lang w:val="en-IE"/>
        </w:rPr>
        <w:t xml:space="preserve">At the </w:t>
      </w:r>
      <w:r w:rsidRPr="00575CC5">
        <w:rPr>
          <w:rFonts w:ascii="Times New Roman" w:hAnsi="Times New Roman" w:cs="Times New Roman"/>
          <w:b/>
          <w:bCs/>
          <w:noProof/>
          <w:color w:val="000000" w:themeColor="text1"/>
          <w:sz w:val="24"/>
          <w:szCs w:val="24"/>
          <w:lang w:val="en-IE"/>
        </w:rPr>
        <w:t>level of the European Union</w:t>
      </w:r>
      <w:r w:rsidRPr="00575CC5">
        <w:rPr>
          <w:rFonts w:ascii="Times New Roman" w:hAnsi="Times New Roman" w:cs="Times New Roman"/>
          <w:noProof/>
          <w:color w:val="000000" w:themeColor="text1"/>
          <w:sz w:val="24"/>
          <w:szCs w:val="24"/>
          <w:lang w:val="en-IE"/>
        </w:rPr>
        <w:t xml:space="preserve">, the </w:t>
      </w:r>
      <w:r w:rsidR="00694FCA">
        <w:rPr>
          <w:rFonts w:ascii="Times New Roman" w:hAnsi="Times New Roman" w:cs="Times New Roman"/>
          <w:noProof/>
          <w:color w:val="000000" w:themeColor="text1"/>
          <w:sz w:val="24"/>
          <w:szCs w:val="24"/>
          <w:lang w:val="en-IE"/>
        </w:rPr>
        <w:t>CMLD Directive</w:t>
      </w:r>
      <w:r w:rsidRPr="00575CC5">
        <w:rPr>
          <w:rFonts w:ascii="Times New Roman" w:hAnsi="Times New Roman" w:cs="Times New Roman"/>
          <w:noProof/>
          <w:color w:val="000000" w:themeColor="text1"/>
          <w:sz w:val="24"/>
          <w:szCs w:val="24"/>
          <w:lang w:val="en-IE"/>
        </w:rPr>
        <w:t xml:space="preserve"> is consistent</w:t>
      </w:r>
      <w:r w:rsidR="009B69E7" w:rsidRPr="00575CC5">
        <w:rPr>
          <w:rFonts w:ascii="Times New Roman" w:hAnsi="Times New Roman" w:cs="Times New Roman"/>
          <w:noProof/>
          <w:color w:val="000000" w:themeColor="text1"/>
          <w:sz w:val="24"/>
          <w:szCs w:val="24"/>
          <w:lang w:val="en-IE"/>
        </w:rPr>
        <w:t xml:space="preserve"> with</w:t>
      </w:r>
      <w:r w:rsidR="003673D1">
        <w:rPr>
          <w:rFonts w:ascii="Times New Roman" w:hAnsi="Times New Roman" w:cs="Times New Roman"/>
          <w:noProof/>
          <w:color w:val="000000" w:themeColor="text1"/>
          <w:sz w:val="24"/>
          <w:szCs w:val="24"/>
          <w:lang w:val="en-IE"/>
        </w:rPr>
        <w:t xml:space="preserve"> policies and legislation in the area of internal security. </w:t>
      </w:r>
    </w:p>
    <w:p w14:paraId="249865E6" w14:textId="6270DA4C" w:rsidR="00DA60DB" w:rsidRDefault="003673D1" w:rsidP="5789C7A8">
      <w:pPr>
        <w:jc w:val="both"/>
        <w:rPr>
          <w:rFonts w:ascii="Times New Roman" w:hAnsi="Times New Roman" w:cs="Times New Roman"/>
          <w:noProof/>
          <w:color w:val="000000" w:themeColor="text1"/>
          <w:sz w:val="24"/>
          <w:szCs w:val="24"/>
        </w:rPr>
      </w:pPr>
      <w:r w:rsidRPr="5789C7A8">
        <w:rPr>
          <w:rFonts w:ascii="Times New Roman" w:hAnsi="Times New Roman" w:cs="Times New Roman"/>
          <w:noProof/>
          <w:color w:val="000000" w:themeColor="text1"/>
          <w:sz w:val="24"/>
          <w:szCs w:val="24"/>
        </w:rPr>
        <w:t xml:space="preserve">The reinforced penal response to money laundering </w:t>
      </w:r>
      <w:r w:rsidR="00513BBC">
        <w:rPr>
          <w:rFonts w:ascii="Times New Roman" w:hAnsi="Times New Roman" w:cs="Times New Roman"/>
          <w:noProof/>
          <w:color w:val="000000" w:themeColor="text1"/>
          <w:sz w:val="24"/>
          <w:szCs w:val="24"/>
        </w:rPr>
        <w:t>introduced</w:t>
      </w:r>
      <w:r w:rsidR="00513BBC" w:rsidRPr="5789C7A8">
        <w:rPr>
          <w:rFonts w:ascii="Times New Roman" w:hAnsi="Times New Roman" w:cs="Times New Roman"/>
          <w:noProof/>
          <w:color w:val="000000" w:themeColor="text1"/>
          <w:sz w:val="24"/>
          <w:szCs w:val="24"/>
        </w:rPr>
        <w:t xml:space="preserve"> </w:t>
      </w:r>
      <w:r w:rsidRPr="5789C7A8">
        <w:rPr>
          <w:rFonts w:ascii="Times New Roman" w:hAnsi="Times New Roman" w:cs="Times New Roman"/>
          <w:noProof/>
          <w:color w:val="000000" w:themeColor="text1"/>
          <w:sz w:val="24"/>
          <w:szCs w:val="24"/>
        </w:rPr>
        <w:t>by the Directive is in line with the European Internal Security Strategy (‘ProtectEU’)</w:t>
      </w:r>
      <w:r>
        <w:rPr>
          <w:rStyle w:val="FootnoteReference"/>
          <w:rFonts w:ascii="Times New Roman" w:hAnsi="Times New Roman" w:cs="Times New Roman"/>
          <w:noProof/>
          <w:color w:val="000000" w:themeColor="text1"/>
          <w:szCs w:val="24"/>
          <w:lang w:val="en-IE"/>
        </w:rPr>
        <w:footnoteReference w:id="56"/>
      </w:r>
      <w:r w:rsidRPr="5789C7A8">
        <w:rPr>
          <w:rFonts w:ascii="Times New Roman" w:hAnsi="Times New Roman" w:cs="Times New Roman"/>
          <w:noProof/>
          <w:color w:val="000000" w:themeColor="text1"/>
          <w:sz w:val="24"/>
          <w:szCs w:val="24"/>
        </w:rPr>
        <w:t xml:space="preserve">, </w:t>
      </w:r>
      <w:bookmarkStart w:id="38" w:name="_Hlk217375961"/>
      <w:r w:rsidRPr="5789C7A8">
        <w:rPr>
          <w:rFonts w:ascii="Times New Roman" w:hAnsi="Times New Roman" w:cs="Times New Roman"/>
          <w:noProof/>
          <w:color w:val="000000" w:themeColor="text1"/>
          <w:sz w:val="24"/>
          <w:szCs w:val="24"/>
        </w:rPr>
        <w:t>which highlight</w:t>
      </w:r>
      <w:r w:rsidR="00933C10">
        <w:rPr>
          <w:rFonts w:ascii="Times New Roman" w:hAnsi="Times New Roman" w:cs="Times New Roman"/>
          <w:noProof/>
          <w:color w:val="000000" w:themeColor="text1"/>
          <w:sz w:val="24"/>
          <w:szCs w:val="24"/>
        </w:rPr>
        <w:t>ed that f</w:t>
      </w:r>
      <w:r w:rsidR="00933C10" w:rsidRPr="00933C10">
        <w:rPr>
          <w:rFonts w:ascii="Times New Roman" w:hAnsi="Times New Roman" w:cs="Times New Roman"/>
          <w:noProof/>
          <w:color w:val="000000" w:themeColor="text1"/>
          <w:sz w:val="24"/>
          <w:szCs w:val="24"/>
        </w:rPr>
        <w:t>ollowing the money is crucial in</w:t>
      </w:r>
      <w:r w:rsidR="006F6698">
        <w:rPr>
          <w:rFonts w:ascii="Times New Roman" w:hAnsi="Times New Roman" w:cs="Times New Roman"/>
          <w:noProof/>
          <w:color w:val="000000" w:themeColor="text1"/>
          <w:sz w:val="24"/>
          <w:szCs w:val="24"/>
        </w:rPr>
        <w:t xml:space="preserve"> policy</w:t>
      </w:r>
      <w:r w:rsidR="00933C10" w:rsidRPr="00933C10">
        <w:rPr>
          <w:rFonts w:ascii="Times New Roman" w:hAnsi="Times New Roman" w:cs="Times New Roman"/>
          <w:noProof/>
          <w:color w:val="000000" w:themeColor="text1"/>
          <w:sz w:val="24"/>
          <w:szCs w:val="24"/>
        </w:rPr>
        <w:t xml:space="preserve"> combating organised crime.</w:t>
      </w:r>
      <w:r w:rsidR="00933C10">
        <w:rPr>
          <w:rFonts w:ascii="Times New Roman" w:hAnsi="Times New Roman" w:cs="Times New Roman"/>
          <w:noProof/>
          <w:color w:val="000000" w:themeColor="text1"/>
          <w:sz w:val="24"/>
          <w:szCs w:val="24"/>
        </w:rPr>
        <w:t xml:space="preserve"> The Strategy pointed out the essential role of </w:t>
      </w:r>
      <w:r w:rsidR="00933C10" w:rsidRPr="00933C10">
        <w:rPr>
          <w:rFonts w:ascii="Times New Roman" w:hAnsi="Times New Roman" w:cs="Times New Roman"/>
          <w:noProof/>
          <w:color w:val="000000" w:themeColor="text1"/>
          <w:sz w:val="24"/>
          <w:szCs w:val="24"/>
        </w:rPr>
        <w:t>seizing assets and confiscating criminal gains </w:t>
      </w:r>
      <w:r w:rsidR="00933C10">
        <w:rPr>
          <w:rFonts w:ascii="Times New Roman" w:hAnsi="Times New Roman" w:cs="Times New Roman"/>
          <w:noProof/>
          <w:color w:val="000000" w:themeColor="text1"/>
          <w:sz w:val="24"/>
          <w:szCs w:val="24"/>
        </w:rPr>
        <w:t>t</w:t>
      </w:r>
      <w:r w:rsidR="00933C10" w:rsidRPr="00933C10">
        <w:rPr>
          <w:rFonts w:ascii="Times New Roman" w:hAnsi="Times New Roman" w:cs="Times New Roman"/>
          <w:noProof/>
          <w:color w:val="000000" w:themeColor="text1"/>
          <w:sz w:val="24"/>
          <w:szCs w:val="24"/>
        </w:rPr>
        <w:t>o dismantle the financial motives behind organised crime</w:t>
      </w:r>
      <w:r w:rsidR="00933C10">
        <w:rPr>
          <w:rFonts w:ascii="Times New Roman" w:hAnsi="Times New Roman" w:cs="Times New Roman"/>
          <w:noProof/>
          <w:color w:val="000000" w:themeColor="text1"/>
          <w:sz w:val="24"/>
          <w:szCs w:val="24"/>
        </w:rPr>
        <w:t xml:space="preserve">, </w:t>
      </w:r>
      <w:r w:rsidR="00375381">
        <w:rPr>
          <w:rFonts w:ascii="Times New Roman" w:hAnsi="Times New Roman" w:cs="Times New Roman"/>
          <w:noProof/>
          <w:color w:val="000000" w:themeColor="text1"/>
          <w:sz w:val="24"/>
          <w:szCs w:val="24"/>
        </w:rPr>
        <w:t xml:space="preserve"> providing information on </w:t>
      </w:r>
      <w:r w:rsidR="00933C10">
        <w:rPr>
          <w:rFonts w:ascii="Times New Roman" w:hAnsi="Times New Roman" w:cs="Times New Roman"/>
          <w:noProof/>
          <w:color w:val="000000" w:themeColor="text1"/>
          <w:sz w:val="24"/>
          <w:szCs w:val="24"/>
        </w:rPr>
        <w:t>the work strands to be pursued to reinforce the follow-the-money approach, including the effective implementation of new EU rules in this area</w:t>
      </w:r>
      <w:r w:rsidRPr="5789C7A8">
        <w:rPr>
          <w:rFonts w:ascii="Times New Roman" w:hAnsi="Times New Roman" w:cs="Times New Roman"/>
          <w:noProof/>
          <w:color w:val="000000" w:themeColor="text1"/>
          <w:sz w:val="24"/>
          <w:szCs w:val="24"/>
        </w:rPr>
        <w:t>.</w:t>
      </w:r>
      <w:bookmarkEnd w:id="38"/>
      <w:r w:rsidRPr="5789C7A8">
        <w:rPr>
          <w:rFonts w:ascii="Times New Roman" w:hAnsi="Times New Roman" w:cs="Times New Roman"/>
          <w:noProof/>
          <w:color w:val="000000" w:themeColor="text1"/>
          <w:sz w:val="24"/>
          <w:szCs w:val="24"/>
        </w:rPr>
        <w:t xml:space="preserve"> </w:t>
      </w:r>
    </w:p>
    <w:p w14:paraId="147B12D0" w14:textId="472ACB2E" w:rsidR="00412F5A" w:rsidRPr="00575CC5" w:rsidRDefault="00896079" w:rsidP="00412F5A">
      <w:pPr>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IE"/>
        </w:rPr>
        <w:t xml:space="preserve">The </w:t>
      </w:r>
      <w:r w:rsidR="00444090">
        <w:rPr>
          <w:rFonts w:ascii="Times New Roman" w:hAnsi="Times New Roman" w:cs="Times New Roman"/>
          <w:noProof/>
          <w:color w:val="000000" w:themeColor="text1"/>
          <w:sz w:val="24"/>
          <w:szCs w:val="24"/>
          <w:lang w:val="en-IE"/>
        </w:rPr>
        <w:t xml:space="preserve">Directive is </w:t>
      </w:r>
      <w:r w:rsidR="00DD49BE">
        <w:rPr>
          <w:rFonts w:ascii="Times New Roman" w:hAnsi="Times New Roman" w:cs="Times New Roman"/>
          <w:noProof/>
          <w:color w:val="000000" w:themeColor="text1"/>
          <w:sz w:val="24"/>
          <w:szCs w:val="24"/>
          <w:lang w:val="en-IE"/>
        </w:rPr>
        <w:t xml:space="preserve">equally </w:t>
      </w:r>
      <w:r w:rsidR="00375381">
        <w:rPr>
          <w:rFonts w:ascii="Times New Roman" w:hAnsi="Times New Roman" w:cs="Times New Roman"/>
          <w:noProof/>
          <w:color w:val="000000" w:themeColor="text1"/>
          <w:sz w:val="24"/>
          <w:szCs w:val="24"/>
          <w:lang w:val="en-IE"/>
        </w:rPr>
        <w:t xml:space="preserve">consistent </w:t>
      </w:r>
      <w:r w:rsidR="00444090">
        <w:rPr>
          <w:rFonts w:ascii="Times New Roman" w:hAnsi="Times New Roman" w:cs="Times New Roman"/>
          <w:noProof/>
          <w:color w:val="000000" w:themeColor="text1"/>
          <w:sz w:val="24"/>
          <w:szCs w:val="24"/>
          <w:lang w:val="en-IE"/>
        </w:rPr>
        <w:t>with</w:t>
      </w:r>
      <w:r w:rsidR="009B69E7" w:rsidRPr="00575CC5">
        <w:rPr>
          <w:rFonts w:ascii="Times New Roman" w:hAnsi="Times New Roman" w:cs="Times New Roman"/>
          <w:noProof/>
          <w:color w:val="000000" w:themeColor="text1"/>
          <w:sz w:val="24"/>
          <w:szCs w:val="24"/>
          <w:lang w:val="en-IE"/>
        </w:rPr>
        <w:t xml:space="preserve"> </w:t>
      </w:r>
      <w:r w:rsidR="00933C10">
        <w:rPr>
          <w:rFonts w:ascii="Times New Roman" w:hAnsi="Times New Roman" w:cs="Times New Roman"/>
          <w:noProof/>
          <w:color w:val="000000" w:themeColor="text1"/>
          <w:sz w:val="24"/>
          <w:szCs w:val="24"/>
          <w:lang w:val="en-IE"/>
        </w:rPr>
        <w:t xml:space="preserve">such rules, including </w:t>
      </w:r>
      <w:r w:rsidR="00412F5A" w:rsidRPr="00575CC5">
        <w:rPr>
          <w:rFonts w:ascii="Times New Roman" w:hAnsi="Times New Roman" w:cs="Times New Roman"/>
          <w:noProof/>
          <w:color w:val="000000" w:themeColor="text1"/>
          <w:sz w:val="24"/>
          <w:szCs w:val="24"/>
          <w:lang w:val="en-IE"/>
        </w:rPr>
        <w:t xml:space="preserve">the </w:t>
      </w:r>
      <w:r w:rsidR="006E4969">
        <w:rPr>
          <w:rFonts w:ascii="Times New Roman" w:hAnsi="Times New Roman" w:cs="Times New Roman"/>
          <w:noProof/>
          <w:color w:val="000000" w:themeColor="text1"/>
          <w:sz w:val="24"/>
          <w:szCs w:val="24"/>
          <w:lang w:val="en-IE"/>
        </w:rPr>
        <w:t>A</w:t>
      </w:r>
      <w:r w:rsidR="00412F5A" w:rsidRPr="00575CC5">
        <w:rPr>
          <w:rFonts w:ascii="Times New Roman" w:hAnsi="Times New Roman" w:cs="Times New Roman"/>
          <w:noProof/>
          <w:color w:val="000000" w:themeColor="text1"/>
          <w:sz w:val="24"/>
          <w:szCs w:val="24"/>
          <w:lang w:val="en-IE"/>
        </w:rPr>
        <w:t>nti-</w:t>
      </w:r>
      <w:r w:rsidR="006E4969">
        <w:rPr>
          <w:rFonts w:ascii="Times New Roman" w:hAnsi="Times New Roman" w:cs="Times New Roman"/>
          <w:noProof/>
          <w:color w:val="000000" w:themeColor="text1"/>
          <w:sz w:val="24"/>
          <w:szCs w:val="24"/>
          <w:lang w:val="en-IE"/>
        </w:rPr>
        <w:t>M</w:t>
      </w:r>
      <w:r w:rsidR="00412F5A" w:rsidRPr="00575CC5">
        <w:rPr>
          <w:rFonts w:ascii="Times New Roman" w:hAnsi="Times New Roman" w:cs="Times New Roman"/>
          <w:noProof/>
          <w:color w:val="000000" w:themeColor="text1"/>
          <w:sz w:val="24"/>
          <w:szCs w:val="24"/>
          <w:lang w:val="en-IE"/>
        </w:rPr>
        <w:t xml:space="preserve">oney </w:t>
      </w:r>
      <w:r w:rsidR="006E4969">
        <w:rPr>
          <w:rFonts w:ascii="Times New Roman" w:hAnsi="Times New Roman" w:cs="Times New Roman"/>
          <w:noProof/>
          <w:color w:val="000000" w:themeColor="text1"/>
          <w:sz w:val="24"/>
          <w:szCs w:val="24"/>
          <w:lang w:val="en-IE"/>
        </w:rPr>
        <w:t>L</w:t>
      </w:r>
      <w:r w:rsidR="00412F5A" w:rsidRPr="00575CC5">
        <w:rPr>
          <w:rFonts w:ascii="Times New Roman" w:hAnsi="Times New Roman" w:cs="Times New Roman"/>
          <w:noProof/>
          <w:color w:val="000000" w:themeColor="text1"/>
          <w:sz w:val="24"/>
          <w:szCs w:val="24"/>
          <w:lang w:val="en-IE"/>
        </w:rPr>
        <w:t xml:space="preserve">aundering </w:t>
      </w:r>
      <w:r w:rsidR="006E4969">
        <w:rPr>
          <w:rFonts w:ascii="Times New Roman" w:hAnsi="Times New Roman" w:cs="Times New Roman"/>
          <w:noProof/>
          <w:color w:val="000000" w:themeColor="text1"/>
          <w:sz w:val="24"/>
          <w:szCs w:val="24"/>
          <w:lang w:val="en-IE"/>
        </w:rPr>
        <w:t>P</w:t>
      </w:r>
      <w:r w:rsidR="00412F5A" w:rsidRPr="00575CC5">
        <w:rPr>
          <w:rFonts w:ascii="Times New Roman" w:hAnsi="Times New Roman" w:cs="Times New Roman"/>
          <w:noProof/>
          <w:color w:val="000000" w:themeColor="text1"/>
          <w:sz w:val="24"/>
          <w:szCs w:val="24"/>
          <w:lang w:val="en-IE"/>
        </w:rPr>
        <w:t xml:space="preserve">ackage adopted between 2023 and 2024. This package, which includes the establishment of a </w:t>
      </w:r>
      <w:r w:rsidR="00AA2E59" w:rsidRPr="00575CC5">
        <w:rPr>
          <w:rFonts w:ascii="Times New Roman" w:hAnsi="Times New Roman" w:cs="Times New Roman"/>
          <w:noProof/>
          <w:color w:val="000000" w:themeColor="text1"/>
          <w:sz w:val="24"/>
          <w:szCs w:val="24"/>
          <w:lang w:val="en-IE"/>
        </w:rPr>
        <w:t>new EU A</w:t>
      </w:r>
      <w:r w:rsidR="00AA2E59">
        <w:rPr>
          <w:rFonts w:ascii="Times New Roman" w:hAnsi="Times New Roman" w:cs="Times New Roman"/>
          <w:noProof/>
          <w:color w:val="000000" w:themeColor="text1"/>
          <w:sz w:val="24"/>
          <w:szCs w:val="24"/>
          <w:lang w:val="en-IE"/>
        </w:rPr>
        <w:t>nti-</w:t>
      </w:r>
      <w:r w:rsidR="00AA2E59" w:rsidRPr="00575CC5">
        <w:rPr>
          <w:rFonts w:ascii="Times New Roman" w:hAnsi="Times New Roman" w:cs="Times New Roman"/>
          <w:noProof/>
          <w:color w:val="000000" w:themeColor="text1"/>
          <w:sz w:val="24"/>
          <w:szCs w:val="24"/>
          <w:lang w:val="en-IE"/>
        </w:rPr>
        <w:t>M</w:t>
      </w:r>
      <w:r w:rsidR="00AA2E59">
        <w:rPr>
          <w:rFonts w:ascii="Times New Roman" w:hAnsi="Times New Roman" w:cs="Times New Roman"/>
          <w:noProof/>
          <w:color w:val="000000" w:themeColor="text1"/>
          <w:sz w:val="24"/>
          <w:szCs w:val="24"/>
          <w:lang w:val="en-IE"/>
        </w:rPr>
        <w:t xml:space="preserve">oney </w:t>
      </w:r>
      <w:r w:rsidR="00AA2E59" w:rsidRPr="00575CC5">
        <w:rPr>
          <w:rFonts w:ascii="Times New Roman" w:hAnsi="Times New Roman" w:cs="Times New Roman"/>
          <w:noProof/>
          <w:color w:val="000000" w:themeColor="text1"/>
          <w:sz w:val="24"/>
          <w:szCs w:val="24"/>
          <w:lang w:val="en-IE"/>
        </w:rPr>
        <w:t>L</w:t>
      </w:r>
      <w:r w:rsidR="00AA2E59">
        <w:rPr>
          <w:rFonts w:ascii="Times New Roman" w:hAnsi="Times New Roman" w:cs="Times New Roman"/>
          <w:noProof/>
          <w:color w:val="000000" w:themeColor="text1"/>
          <w:sz w:val="24"/>
          <w:szCs w:val="24"/>
          <w:lang w:val="en-IE"/>
        </w:rPr>
        <w:t>aundering</w:t>
      </w:r>
      <w:r w:rsidR="00AA2E59" w:rsidRPr="00575CC5">
        <w:rPr>
          <w:rFonts w:ascii="Times New Roman" w:hAnsi="Times New Roman" w:cs="Times New Roman"/>
          <w:noProof/>
          <w:color w:val="000000" w:themeColor="text1"/>
          <w:sz w:val="24"/>
          <w:szCs w:val="24"/>
          <w:lang w:val="en-IE"/>
        </w:rPr>
        <w:t xml:space="preserve"> Authority (AMLA), a directly applicable A</w:t>
      </w:r>
      <w:r w:rsidR="00AA2E59">
        <w:rPr>
          <w:rFonts w:ascii="Times New Roman" w:hAnsi="Times New Roman" w:cs="Times New Roman"/>
          <w:noProof/>
          <w:color w:val="000000" w:themeColor="text1"/>
          <w:sz w:val="24"/>
          <w:szCs w:val="24"/>
          <w:lang w:val="en-IE"/>
        </w:rPr>
        <w:t>nti-</w:t>
      </w:r>
      <w:r w:rsidR="00AA2E59" w:rsidRPr="00575CC5">
        <w:rPr>
          <w:rFonts w:ascii="Times New Roman" w:hAnsi="Times New Roman" w:cs="Times New Roman"/>
          <w:noProof/>
          <w:color w:val="000000" w:themeColor="text1"/>
          <w:sz w:val="24"/>
          <w:szCs w:val="24"/>
          <w:lang w:val="en-IE"/>
        </w:rPr>
        <w:t>M</w:t>
      </w:r>
      <w:r w:rsidR="00AA2E59">
        <w:rPr>
          <w:rFonts w:ascii="Times New Roman" w:hAnsi="Times New Roman" w:cs="Times New Roman"/>
          <w:noProof/>
          <w:color w:val="000000" w:themeColor="text1"/>
          <w:sz w:val="24"/>
          <w:szCs w:val="24"/>
          <w:lang w:val="en-IE"/>
        </w:rPr>
        <w:t xml:space="preserve">oney </w:t>
      </w:r>
      <w:r w:rsidR="00AA2E59" w:rsidRPr="00575CC5">
        <w:rPr>
          <w:rFonts w:ascii="Times New Roman" w:hAnsi="Times New Roman" w:cs="Times New Roman"/>
          <w:noProof/>
          <w:color w:val="000000" w:themeColor="text1"/>
          <w:sz w:val="24"/>
          <w:szCs w:val="24"/>
          <w:lang w:val="en-IE"/>
        </w:rPr>
        <w:t>L</w:t>
      </w:r>
      <w:r w:rsidR="00AA2E59">
        <w:rPr>
          <w:rFonts w:ascii="Times New Roman" w:hAnsi="Times New Roman" w:cs="Times New Roman"/>
          <w:noProof/>
          <w:color w:val="000000" w:themeColor="text1"/>
          <w:sz w:val="24"/>
          <w:szCs w:val="24"/>
          <w:lang w:val="en-IE"/>
        </w:rPr>
        <w:t>aundering</w:t>
      </w:r>
      <w:r w:rsidR="00AA2E59" w:rsidRPr="00575CC5">
        <w:rPr>
          <w:rFonts w:ascii="Times New Roman" w:hAnsi="Times New Roman" w:cs="Times New Roman"/>
          <w:noProof/>
          <w:color w:val="000000" w:themeColor="text1"/>
          <w:sz w:val="24"/>
          <w:szCs w:val="24"/>
          <w:lang w:val="en-IE"/>
        </w:rPr>
        <w:t xml:space="preserve"> Regulation (AMLR)</w:t>
      </w:r>
      <w:r w:rsidR="00033334">
        <w:rPr>
          <w:rStyle w:val="FootnoteReference"/>
          <w:rFonts w:ascii="Times New Roman" w:hAnsi="Times New Roman" w:cs="Times New Roman"/>
          <w:noProof/>
          <w:color w:val="000000" w:themeColor="text1"/>
          <w:szCs w:val="24"/>
          <w:lang w:val="en-IE"/>
        </w:rPr>
        <w:footnoteReference w:id="57"/>
      </w:r>
      <w:r w:rsidR="00AA2E59" w:rsidRPr="00575CC5">
        <w:rPr>
          <w:rFonts w:ascii="Times New Roman" w:hAnsi="Times New Roman" w:cs="Times New Roman"/>
          <w:noProof/>
          <w:color w:val="000000" w:themeColor="text1"/>
          <w:sz w:val="24"/>
          <w:szCs w:val="24"/>
          <w:lang w:val="en-IE"/>
        </w:rPr>
        <w:t>, a new Directive (AMLD6)</w:t>
      </w:r>
      <w:r w:rsidR="00AE57D0">
        <w:rPr>
          <w:rStyle w:val="FootnoteReference"/>
          <w:rFonts w:ascii="Times New Roman" w:hAnsi="Times New Roman" w:cs="Times New Roman"/>
          <w:noProof/>
          <w:color w:val="000000" w:themeColor="text1"/>
          <w:szCs w:val="24"/>
          <w:lang w:val="en-IE"/>
        </w:rPr>
        <w:footnoteReference w:id="58"/>
      </w:r>
      <w:r w:rsidR="00AA2E59" w:rsidRPr="00575CC5">
        <w:rPr>
          <w:rFonts w:ascii="Times New Roman" w:hAnsi="Times New Roman" w:cs="Times New Roman"/>
          <w:noProof/>
          <w:color w:val="000000" w:themeColor="text1"/>
          <w:sz w:val="24"/>
          <w:szCs w:val="24"/>
          <w:lang w:val="en-IE"/>
        </w:rPr>
        <w:t xml:space="preserve"> </w:t>
      </w:r>
      <w:r w:rsidR="00412F5A" w:rsidRPr="00575CC5">
        <w:rPr>
          <w:rFonts w:ascii="Times New Roman" w:hAnsi="Times New Roman" w:cs="Times New Roman"/>
          <w:noProof/>
          <w:color w:val="000000" w:themeColor="text1"/>
          <w:sz w:val="24"/>
          <w:szCs w:val="24"/>
          <w:lang w:val="en-IE"/>
        </w:rPr>
        <w:t xml:space="preserve"> and a revision of the Regulation on Transfers of Funds</w:t>
      </w:r>
      <w:r w:rsidR="00110E8F">
        <w:rPr>
          <w:rStyle w:val="FootnoteReference"/>
          <w:rFonts w:ascii="Times New Roman" w:hAnsi="Times New Roman" w:cs="Times New Roman"/>
          <w:noProof/>
          <w:color w:val="000000" w:themeColor="text1"/>
          <w:szCs w:val="24"/>
          <w:lang w:val="en-IE"/>
        </w:rPr>
        <w:footnoteReference w:id="59"/>
      </w:r>
      <w:r w:rsidR="00412F5A" w:rsidRPr="00575CC5">
        <w:rPr>
          <w:rFonts w:ascii="Times New Roman" w:hAnsi="Times New Roman" w:cs="Times New Roman"/>
          <w:noProof/>
          <w:color w:val="000000" w:themeColor="text1"/>
          <w:sz w:val="24"/>
          <w:szCs w:val="24"/>
          <w:lang w:val="en-IE"/>
        </w:rPr>
        <w:t xml:space="preserve">, is intended to create a uniform set of rules for the private sector and to close loopholes exploited by criminals. Importantly, the new rules also address crypto assets, which had previously constituted a major vulnerability. These reforms are fully coherent with, and complementary to, the </w:t>
      </w:r>
      <w:r w:rsidR="00694FCA">
        <w:rPr>
          <w:rFonts w:ascii="Times New Roman" w:hAnsi="Times New Roman" w:cs="Times New Roman"/>
          <w:noProof/>
          <w:color w:val="000000" w:themeColor="text1"/>
          <w:sz w:val="24"/>
          <w:szCs w:val="24"/>
          <w:lang w:val="en-IE"/>
        </w:rPr>
        <w:t>CMLD Directive</w:t>
      </w:r>
      <w:r w:rsidR="00412F5A" w:rsidRPr="00575CC5">
        <w:rPr>
          <w:rFonts w:ascii="Times New Roman" w:hAnsi="Times New Roman" w:cs="Times New Roman"/>
          <w:noProof/>
          <w:color w:val="000000" w:themeColor="text1"/>
          <w:sz w:val="24"/>
          <w:szCs w:val="24"/>
          <w:lang w:val="en-IE"/>
        </w:rPr>
        <w:t>, since they reinforce the preventive side of the framework and thus support its provisions on criminalisation.</w:t>
      </w:r>
      <w:r w:rsidR="00444090">
        <w:rPr>
          <w:rFonts w:ascii="Times New Roman" w:hAnsi="Times New Roman" w:cs="Times New Roman"/>
          <w:noProof/>
          <w:color w:val="000000" w:themeColor="text1"/>
          <w:sz w:val="24"/>
          <w:szCs w:val="24"/>
          <w:lang w:val="en-IE"/>
        </w:rPr>
        <w:t xml:space="preserve"> </w:t>
      </w:r>
    </w:p>
    <w:p w14:paraId="5E328D26" w14:textId="3200961E" w:rsidR="00412F5A" w:rsidRPr="00575CC5" w:rsidRDefault="00412F5A" w:rsidP="00412F5A">
      <w:pPr>
        <w:jc w:val="both"/>
        <w:rPr>
          <w:rFonts w:ascii="Times New Roman" w:hAnsi="Times New Roman" w:cs="Times New Roman"/>
          <w:noProof/>
          <w:color w:val="000000" w:themeColor="text1"/>
          <w:sz w:val="24"/>
          <w:szCs w:val="24"/>
          <w:lang w:val="en-IE"/>
        </w:rPr>
      </w:pPr>
      <w:r w:rsidRPr="00575CC5">
        <w:rPr>
          <w:rFonts w:ascii="Times New Roman" w:hAnsi="Times New Roman" w:cs="Times New Roman"/>
          <w:noProof/>
          <w:color w:val="000000" w:themeColor="text1"/>
          <w:sz w:val="24"/>
          <w:szCs w:val="24"/>
          <w:lang w:val="en-IE"/>
        </w:rPr>
        <w:t xml:space="preserve">Similarly, </w:t>
      </w:r>
      <w:r w:rsidR="00375381">
        <w:rPr>
          <w:rFonts w:ascii="Times New Roman" w:hAnsi="Times New Roman" w:cs="Times New Roman"/>
          <w:noProof/>
          <w:color w:val="000000" w:themeColor="text1"/>
          <w:sz w:val="24"/>
          <w:szCs w:val="24"/>
          <w:lang w:val="en-IE"/>
        </w:rPr>
        <w:t>consistency</w:t>
      </w:r>
      <w:r w:rsidR="00375381" w:rsidRPr="00575CC5">
        <w:rPr>
          <w:rFonts w:ascii="Times New Roman" w:hAnsi="Times New Roman" w:cs="Times New Roman"/>
          <w:noProof/>
          <w:color w:val="000000" w:themeColor="text1"/>
          <w:sz w:val="24"/>
          <w:szCs w:val="24"/>
          <w:lang w:val="en-IE"/>
        </w:rPr>
        <w:t xml:space="preserve"> </w:t>
      </w:r>
      <w:r w:rsidRPr="00575CC5">
        <w:rPr>
          <w:rFonts w:ascii="Times New Roman" w:hAnsi="Times New Roman" w:cs="Times New Roman"/>
          <w:noProof/>
          <w:color w:val="000000" w:themeColor="text1"/>
          <w:sz w:val="24"/>
          <w:szCs w:val="24"/>
          <w:lang w:val="en-IE"/>
        </w:rPr>
        <w:t xml:space="preserve">is evident between the </w:t>
      </w:r>
      <w:r w:rsidR="00694FCA">
        <w:rPr>
          <w:rFonts w:ascii="Times New Roman" w:hAnsi="Times New Roman" w:cs="Times New Roman"/>
          <w:noProof/>
          <w:color w:val="000000" w:themeColor="text1"/>
          <w:sz w:val="24"/>
          <w:szCs w:val="24"/>
          <w:lang w:val="en-IE"/>
        </w:rPr>
        <w:t xml:space="preserve">CMLD </w:t>
      </w:r>
      <w:r w:rsidRPr="00575CC5">
        <w:rPr>
          <w:rFonts w:ascii="Times New Roman" w:hAnsi="Times New Roman" w:cs="Times New Roman"/>
          <w:noProof/>
          <w:color w:val="000000" w:themeColor="text1"/>
          <w:sz w:val="24"/>
          <w:szCs w:val="24"/>
          <w:lang w:val="en-IE"/>
        </w:rPr>
        <w:t xml:space="preserve">and the new Asset Recovery and Confiscation Directive (ARCD), adopted in 2024, which replaces earlier legislation on asset recovery and confiscation. The ARCD directly refers to the </w:t>
      </w:r>
      <w:r w:rsidR="00375381">
        <w:rPr>
          <w:rFonts w:ascii="Times New Roman" w:hAnsi="Times New Roman" w:cs="Times New Roman"/>
          <w:noProof/>
          <w:color w:val="000000" w:themeColor="text1"/>
          <w:sz w:val="24"/>
          <w:szCs w:val="24"/>
          <w:lang w:val="en-IE"/>
        </w:rPr>
        <w:t>CMLD</w:t>
      </w:r>
      <w:r w:rsidRPr="00575CC5">
        <w:rPr>
          <w:rFonts w:ascii="Times New Roman" w:hAnsi="Times New Roman" w:cs="Times New Roman"/>
          <w:noProof/>
          <w:color w:val="000000" w:themeColor="text1"/>
          <w:sz w:val="24"/>
          <w:szCs w:val="24"/>
          <w:lang w:val="en-IE"/>
        </w:rPr>
        <w:t xml:space="preserve">’s definition of money laundering, ensuring consistency in terminology and scope. Both instruments are mutually reinforcing, </w:t>
      </w:r>
      <w:r w:rsidR="006B217F" w:rsidRPr="00575CC5">
        <w:rPr>
          <w:rFonts w:ascii="Times New Roman" w:hAnsi="Times New Roman" w:cs="Times New Roman"/>
          <w:noProof/>
          <w:color w:val="000000" w:themeColor="text1"/>
          <w:sz w:val="24"/>
          <w:szCs w:val="24"/>
          <w:lang w:val="en-IE"/>
        </w:rPr>
        <w:t xml:space="preserve">with </w:t>
      </w:r>
      <w:r w:rsidRPr="00575CC5">
        <w:rPr>
          <w:rFonts w:ascii="Times New Roman" w:hAnsi="Times New Roman" w:cs="Times New Roman"/>
          <w:noProof/>
          <w:color w:val="000000" w:themeColor="text1"/>
          <w:sz w:val="24"/>
          <w:szCs w:val="24"/>
          <w:lang w:val="en-IE"/>
        </w:rPr>
        <w:t>the ARCD complemen</w:t>
      </w:r>
      <w:r w:rsidR="006B217F" w:rsidRPr="00575CC5">
        <w:rPr>
          <w:rFonts w:ascii="Times New Roman" w:hAnsi="Times New Roman" w:cs="Times New Roman"/>
          <w:noProof/>
          <w:color w:val="000000" w:themeColor="text1"/>
          <w:sz w:val="24"/>
          <w:szCs w:val="24"/>
          <w:lang w:val="en-IE"/>
        </w:rPr>
        <w:t>ting</w:t>
      </w:r>
      <w:r w:rsidRPr="00575CC5">
        <w:rPr>
          <w:rFonts w:ascii="Times New Roman" w:hAnsi="Times New Roman" w:cs="Times New Roman"/>
          <w:noProof/>
          <w:color w:val="000000" w:themeColor="text1"/>
          <w:sz w:val="24"/>
          <w:szCs w:val="24"/>
          <w:lang w:val="en-IE"/>
        </w:rPr>
        <w:t xml:space="preserve"> </w:t>
      </w:r>
      <w:r w:rsidR="006B217F" w:rsidRPr="00575CC5">
        <w:rPr>
          <w:rFonts w:ascii="Times New Roman" w:hAnsi="Times New Roman" w:cs="Times New Roman"/>
          <w:noProof/>
          <w:color w:val="000000" w:themeColor="text1"/>
          <w:sz w:val="24"/>
          <w:szCs w:val="24"/>
          <w:lang w:val="en-IE"/>
        </w:rPr>
        <w:t xml:space="preserve">the </w:t>
      </w:r>
      <w:r w:rsidR="00694FCA">
        <w:rPr>
          <w:rFonts w:ascii="Times New Roman" w:hAnsi="Times New Roman" w:cs="Times New Roman"/>
          <w:noProof/>
          <w:color w:val="000000" w:themeColor="text1"/>
          <w:sz w:val="24"/>
          <w:szCs w:val="24"/>
          <w:lang w:val="en-IE"/>
        </w:rPr>
        <w:t xml:space="preserve">CMLD </w:t>
      </w:r>
      <w:r w:rsidRPr="00575CC5">
        <w:rPr>
          <w:rFonts w:ascii="Times New Roman" w:hAnsi="Times New Roman" w:cs="Times New Roman"/>
          <w:noProof/>
          <w:color w:val="000000" w:themeColor="text1"/>
          <w:sz w:val="24"/>
          <w:szCs w:val="24"/>
          <w:lang w:val="en-IE"/>
        </w:rPr>
        <w:t xml:space="preserve">by extending the range of confiscation mechanisms, notably through the introduction of confiscation of unexplained wealth linked to criminal activities. </w:t>
      </w:r>
    </w:p>
    <w:p w14:paraId="703CC470" w14:textId="5CC841CD" w:rsidR="00933C10" w:rsidRPr="00575CC5" w:rsidRDefault="00933C10" w:rsidP="00933C10">
      <w:pPr>
        <w:jc w:val="both"/>
        <w:rPr>
          <w:rFonts w:ascii="Times New Roman" w:hAnsi="Times New Roman" w:cs="Times New Roman"/>
          <w:noProof/>
          <w:color w:val="000000" w:themeColor="text1"/>
          <w:sz w:val="24"/>
          <w:szCs w:val="24"/>
          <w:lang w:val="en-IE"/>
        </w:rPr>
      </w:pPr>
      <w:r w:rsidRPr="00575CC5">
        <w:rPr>
          <w:rFonts w:ascii="Times New Roman" w:hAnsi="Times New Roman" w:cs="Times New Roman"/>
          <w:noProof/>
          <w:color w:val="000000" w:themeColor="text1"/>
          <w:sz w:val="24"/>
          <w:szCs w:val="24"/>
          <w:lang w:val="en-IE"/>
        </w:rPr>
        <w:t xml:space="preserve">The </w:t>
      </w:r>
      <w:r w:rsidR="00694FCA">
        <w:rPr>
          <w:rFonts w:ascii="Times New Roman" w:hAnsi="Times New Roman" w:cs="Times New Roman"/>
          <w:noProof/>
          <w:color w:val="000000" w:themeColor="text1"/>
          <w:sz w:val="24"/>
          <w:szCs w:val="24"/>
          <w:lang w:val="en-IE"/>
        </w:rPr>
        <w:t>CMLD Directive</w:t>
      </w:r>
      <w:r w:rsidRPr="00575CC5">
        <w:rPr>
          <w:rFonts w:ascii="Times New Roman" w:hAnsi="Times New Roman" w:cs="Times New Roman"/>
          <w:noProof/>
          <w:color w:val="000000" w:themeColor="text1"/>
          <w:sz w:val="24"/>
          <w:szCs w:val="24"/>
          <w:lang w:val="en-IE"/>
        </w:rPr>
        <w:t xml:space="preserve"> is also </w:t>
      </w:r>
      <w:r w:rsidR="00375381">
        <w:rPr>
          <w:rFonts w:ascii="Times New Roman" w:hAnsi="Times New Roman" w:cs="Times New Roman"/>
          <w:noProof/>
          <w:color w:val="000000" w:themeColor="text1"/>
          <w:sz w:val="24"/>
          <w:szCs w:val="24"/>
          <w:lang w:val="en-IE"/>
        </w:rPr>
        <w:t>consi</w:t>
      </w:r>
      <w:r w:rsidR="009E0501">
        <w:rPr>
          <w:rFonts w:ascii="Times New Roman" w:hAnsi="Times New Roman" w:cs="Times New Roman"/>
          <w:noProof/>
          <w:color w:val="000000" w:themeColor="text1"/>
          <w:sz w:val="24"/>
          <w:szCs w:val="24"/>
          <w:lang w:val="en-IE"/>
        </w:rPr>
        <w:t>s</w:t>
      </w:r>
      <w:r w:rsidR="00375381">
        <w:rPr>
          <w:rFonts w:ascii="Times New Roman" w:hAnsi="Times New Roman" w:cs="Times New Roman"/>
          <w:noProof/>
          <w:color w:val="000000" w:themeColor="text1"/>
          <w:sz w:val="24"/>
          <w:szCs w:val="24"/>
          <w:lang w:val="en-IE"/>
        </w:rPr>
        <w:t>tent</w:t>
      </w:r>
      <w:r w:rsidR="00375381" w:rsidRPr="00575CC5">
        <w:rPr>
          <w:rFonts w:ascii="Times New Roman" w:hAnsi="Times New Roman" w:cs="Times New Roman"/>
          <w:noProof/>
          <w:color w:val="000000" w:themeColor="text1"/>
          <w:sz w:val="24"/>
          <w:szCs w:val="24"/>
          <w:lang w:val="en-IE"/>
        </w:rPr>
        <w:t xml:space="preserve"> </w:t>
      </w:r>
      <w:r w:rsidRPr="00575CC5">
        <w:rPr>
          <w:rFonts w:ascii="Times New Roman" w:hAnsi="Times New Roman" w:cs="Times New Roman"/>
          <w:noProof/>
          <w:color w:val="000000" w:themeColor="text1"/>
          <w:sz w:val="24"/>
          <w:szCs w:val="24"/>
          <w:lang w:val="en-IE"/>
        </w:rPr>
        <w:t xml:space="preserve">with </w:t>
      </w:r>
      <w:r w:rsidR="00AF1B68">
        <w:rPr>
          <w:rFonts w:ascii="Times New Roman" w:hAnsi="Times New Roman" w:cs="Times New Roman"/>
          <w:noProof/>
          <w:color w:val="000000" w:themeColor="text1"/>
          <w:sz w:val="24"/>
          <w:szCs w:val="24"/>
          <w:lang w:val="en-IE"/>
        </w:rPr>
        <w:t xml:space="preserve">Directive </w:t>
      </w:r>
      <w:r w:rsidR="00375381">
        <w:rPr>
          <w:rFonts w:ascii="Times New Roman" w:hAnsi="Times New Roman" w:cs="Times New Roman"/>
          <w:noProof/>
          <w:color w:val="000000" w:themeColor="text1"/>
          <w:sz w:val="24"/>
          <w:szCs w:val="24"/>
          <w:lang w:val="en-IE"/>
        </w:rPr>
        <w:t xml:space="preserve">(EU) </w:t>
      </w:r>
      <w:r w:rsidR="00AF1B68">
        <w:rPr>
          <w:rFonts w:ascii="Times New Roman" w:hAnsi="Times New Roman" w:cs="Times New Roman"/>
          <w:noProof/>
          <w:color w:val="000000" w:themeColor="text1"/>
          <w:sz w:val="24"/>
          <w:szCs w:val="24"/>
          <w:lang w:val="en-IE"/>
        </w:rPr>
        <w:t>2017/</w:t>
      </w:r>
      <w:r w:rsidR="00AF1B68" w:rsidRPr="352F3B1D">
        <w:rPr>
          <w:rFonts w:ascii="Times New Roman" w:hAnsi="Times New Roman" w:cs="Times New Roman"/>
          <w:noProof/>
          <w:color w:val="000000" w:themeColor="text1"/>
          <w:sz w:val="24"/>
          <w:szCs w:val="24"/>
          <w:lang w:val="en-IE"/>
        </w:rPr>
        <w:t>1371</w:t>
      </w:r>
      <w:r w:rsidR="00A9307C">
        <w:rPr>
          <w:rFonts w:ascii="Times New Roman" w:hAnsi="Times New Roman" w:cs="Times New Roman"/>
          <w:noProof/>
          <w:color w:val="000000" w:themeColor="text1"/>
          <w:sz w:val="24"/>
          <w:szCs w:val="24"/>
          <w:lang w:val="en-IE"/>
        </w:rPr>
        <w:t xml:space="preserve"> </w:t>
      </w:r>
      <w:r w:rsidR="00A9307C" w:rsidRPr="00A9307C">
        <w:rPr>
          <w:rFonts w:ascii="Times New Roman" w:hAnsi="Times New Roman" w:cs="Times New Roman"/>
          <w:noProof/>
          <w:color w:val="000000" w:themeColor="text1"/>
          <w:sz w:val="24"/>
          <w:szCs w:val="24"/>
          <w:lang w:val="en-IE"/>
        </w:rPr>
        <w:t>on the fight against fraud to the Union's financial interests</w:t>
      </w:r>
      <w:r w:rsidR="00A9307C" w:rsidRPr="00A9307C" w:rsidDel="00933C10">
        <w:rPr>
          <w:rFonts w:ascii="Times New Roman" w:hAnsi="Times New Roman" w:cs="Times New Roman"/>
          <w:noProof/>
          <w:color w:val="000000" w:themeColor="text1"/>
          <w:sz w:val="24"/>
          <w:szCs w:val="24"/>
          <w:lang w:val="en-IE"/>
        </w:rPr>
        <w:t xml:space="preserve"> </w:t>
      </w:r>
      <w:r w:rsidR="00AF1B68">
        <w:rPr>
          <w:rFonts w:ascii="Times New Roman" w:hAnsi="Times New Roman" w:cs="Times New Roman"/>
          <w:noProof/>
          <w:color w:val="000000" w:themeColor="text1"/>
          <w:sz w:val="24"/>
          <w:szCs w:val="24"/>
          <w:lang w:val="en-IE"/>
        </w:rPr>
        <w:t>(</w:t>
      </w:r>
      <w:r w:rsidRPr="00575CC5">
        <w:rPr>
          <w:rFonts w:ascii="Times New Roman" w:hAnsi="Times New Roman" w:cs="Times New Roman"/>
          <w:noProof/>
          <w:color w:val="000000" w:themeColor="text1"/>
          <w:sz w:val="24"/>
          <w:szCs w:val="24"/>
          <w:lang w:val="en-IE"/>
        </w:rPr>
        <w:t>PIF Directive</w:t>
      </w:r>
      <w:r w:rsidR="00AF1B68" w:rsidRPr="352F3B1D">
        <w:rPr>
          <w:rFonts w:ascii="Times New Roman" w:hAnsi="Times New Roman" w:cs="Times New Roman"/>
          <w:noProof/>
          <w:color w:val="000000" w:themeColor="text1"/>
          <w:sz w:val="24"/>
          <w:szCs w:val="24"/>
          <w:lang w:val="en-IE"/>
        </w:rPr>
        <w:t>)</w:t>
      </w:r>
      <w:r w:rsidR="00C06DDC">
        <w:rPr>
          <w:rStyle w:val="FootnoteReference"/>
          <w:rFonts w:ascii="Times New Roman" w:hAnsi="Times New Roman" w:cs="Times New Roman"/>
          <w:noProof/>
          <w:color w:val="000000" w:themeColor="text1"/>
          <w:szCs w:val="24"/>
          <w:lang w:val="en-IE"/>
        </w:rPr>
        <w:footnoteReference w:id="60"/>
      </w:r>
      <w:r w:rsidRPr="352F3B1D">
        <w:rPr>
          <w:rFonts w:ascii="Times New Roman" w:hAnsi="Times New Roman" w:cs="Times New Roman"/>
          <w:noProof/>
          <w:color w:val="000000" w:themeColor="text1"/>
          <w:sz w:val="24"/>
          <w:szCs w:val="24"/>
          <w:lang w:val="en-IE"/>
        </w:rPr>
        <w:t>,</w:t>
      </w:r>
      <w:r w:rsidRPr="00575CC5">
        <w:rPr>
          <w:rFonts w:ascii="Times New Roman" w:hAnsi="Times New Roman" w:cs="Times New Roman"/>
          <w:noProof/>
          <w:color w:val="000000" w:themeColor="text1"/>
          <w:sz w:val="24"/>
          <w:szCs w:val="24"/>
          <w:lang w:val="en-IE"/>
        </w:rPr>
        <w:t xml:space="preserve"> which regulates offences affecting the Union’s financial interests. Recital 10 of the </w:t>
      </w:r>
      <w:r w:rsidR="00694FCA">
        <w:rPr>
          <w:rFonts w:ascii="Times New Roman" w:hAnsi="Times New Roman" w:cs="Times New Roman"/>
          <w:noProof/>
          <w:color w:val="000000" w:themeColor="text1"/>
          <w:sz w:val="24"/>
          <w:szCs w:val="24"/>
          <w:lang w:val="en-IE"/>
        </w:rPr>
        <w:t xml:space="preserve">CMLD </w:t>
      </w:r>
      <w:r w:rsidRPr="00575CC5">
        <w:rPr>
          <w:rFonts w:ascii="Times New Roman" w:hAnsi="Times New Roman" w:cs="Times New Roman"/>
          <w:noProof/>
          <w:color w:val="000000" w:themeColor="text1"/>
          <w:sz w:val="24"/>
          <w:szCs w:val="24"/>
          <w:lang w:val="en-IE"/>
        </w:rPr>
        <w:t xml:space="preserve">explicitly excludes these offences from its scope, clarifying that they fall under the PIF Directive, but also leaves open the possibility for Member States to transpose both directives through a single legislative framework. Given that </w:t>
      </w:r>
      <w:r w:rsidRPr="00192CAE">
        <w:rPr>
          <w:rFonts w:ascii="Times New Roman" w:hAnsi="Times New Roman" w:cs="Times New Roman"/>
          <w:noProof/>
          <w:color w:val="000000" w:themeColor="text1"/>
          <w:sz w:val="24"/>
          <w:szCs w:val="24"/>
          <w:lang w:val="en-IE"/>
        </w:rPr>
        <w:t xml:space="preserve">the PIF Directive refers to definitions from AMLD4, minor adjustments </w:t>
      </w:r>
      <w:r w:rsidR="000A75FE" w:rsidRPr="00192CAE">
        <w:rPr>
          <w:rFonts w:ascii="Times New Roman" w:hAnsi="Times New Roman" w:cs="Times New Roman"/>
          <w:noProof/>
          <w:color w:val="000000" w:themeColor="text1"/>
          <w:sz w:val="24"/>
          <w:szCs w:val="24"/>
          <w:lang w:val="en-IE"/>
        </w:rPr>
        <w:t>may be</w:t>
      </w:r>
      <w:r w:rsidRPr="00192CAE">
        <w:rPr>
          <w:rFonts w:ascii="Times New Roman" w:hAnsi="Times New Roman" w:cs="Times New Roman"/>
          <w:noProof/>
          <w:color w:val="000000" w:themeColor="text1"/>
          <w:sz w:val="24"/>
          <w:szCs w:val="24"/>
          <w:lang w:val="en-IE"/>
        </w:rPr>
        <w:t xml:space="preserve"> needed to ensure consistency with the more recent </w:t>
      </w:r>
      <w:r w:rsidR="00694FCA">
        <w:rPr>
          <w:rFonts w:ascii="Times New Roman" w:hAnsi="Times New Roman" w:cs="Times New Roman"/>
          <w:noProof/>
          <w:color w:val="000000" w:themeColor="text1"/>
          <w:sz w:val="24"/>
          <w:szCs w:val="24"/>
          <w:lang w:val="en-IE"/>
        </w:rPr>
        <w:t>CMLD Directive</w:t>
      </w:r>
      <w:r w:rsidRPr="00192CAE">
        <w:rPr>
          <w:rFonts w:ascii="Times New Roman" w:hAnsi="Times New Roman" w:cs="Times New Roman"/>
          <w:noProof/>
          <w:color w:val="000000" w:themeColor="text1"/>
          <w:sz w:val="24"/>
          <w:szCs w:val="24"/>
          <w:lang w:val="en-IE"/>
        </w:rPr>
        <w:t>.</w:t>
      </w:r>
    </w:p>
    <w:p w14:paraId="5489B66A" w14:textId="1AF18CFF" w:rsidR="00412F5A" w:rsidRPr="00575CC5" w:rsidRDefault="00412F5A" w:rsidP="00412F5A">
      <w:pPr>
        <w:jc w:val="both"/>
        <w:rPr>
          <w:rFonts w:ascii="Times New Roman" w:hAnsi="Times New Roman" w:cs="Times New Roman"/>
          <w:noProof/>
          <w:color w:val="000000" w:themeColor="text1"/>
          <w:sz w:val="24"/>
          <w:szCs w:val="24"/>
          <w:lang w:val="en-IE"/>
        </w:rPr>
      </w:pPr>
      <w:r w:rsidRPr="00575CC5">
        <w:rPr>
          <w:rFonts w:ascii="Times New Roman" w:hAnsi="Times New Roman" w:cs="Times New Roman"/>
          <w:noProof/>
          <w:color w:val="000000" w:themeColor="text1"/>
          <w:sz w:val="24"/>
          <w:szCs w:val="24"/>
          <w:lang w:val="en-IE"/>
        </w:rPr>
        <w:t xml:space="preserve">In conclusion, the </w:t>
      </w:r>
      <w:r w:rsidR="00694FCA">
        <w:rPr>
          <w:rFonts w:ascii="Times New Roman" w:hAnsi="Times New Roman" w:cs="Times New Roman"/>
          <w:noProof/>
          <w:color w:val="000000" w:themeColor="text1"/>
          <w:sz w:val="24"/>
          <w:szCs w:val="24"/>
          <w:lang w:val="en-IE"/>
        </w:rPr>
        <w:t>Directive</w:t>
      </w:r>
      <w:r w:rsidRPr="00575CC5">
        <w:rPr>
          <w:rFonts w:ascii="Times New Roman" w:hAnsi="Times New Roman" w:cs="Times New Roman"/>
          <w:noProof/>
          <w:color w:val="000000" w:themeColor="text1"/>
          <w:sz w:val="24"/>
          <w:szCs w:val="24"/>
          <w:lang w:val="en-IE"/>
        </w:rPr>
        <w:t xml:space="preserve"> shows partial </w:t>
      </w:r>
      <w:r w:rsidR="00375381">
        <w:rPr>
          <w:rFonts w:ascii="Times New Roman" w:hAnsi="Times New Roman" w:cs="Times New Roman"/>
          <w:noProof/>
          <w:color w:val="000000" w:themeColor="text1"/>
          <w:sz w:val="24"/>
          <w:szCs w:val="24"/>
          <w:lang w:val="en-IE"/>
        </w:rPr>
        <w:t>consistency</w:t>
      </w:r>
      <w:r w:rsidR="00375381" w:rsidRPr="00575CC5">
        <w:rPr>
          <w:rFonts w:ascii="Times New Roman" w:hAnsi="Times New Roman" w:cs="Times New Roman"/>
          <w:noProof/>
          <w:color w:val="000000" w:themeColor="text1"/>
          <w:sz w:val="24"/>
          <w:szCs w:val="24"/>
          <w:lang w:val="en-IE"/>
        </w:rPr>
        <w:t xml:space="preserve"> </w:t>
      </w:r>
      <w:r w:rsidRPr="00575CC5">
        <w:rPr>
          <w:rFonts w:ascii="Times New Roman" w:hAnsi="Times New Roman" w:cs="Times New Roman"/>
          <w:noProof/>
          <w:color w:val="000000" w:themeColor="text1"/>
          <w:sz w:val="24"/>
          <w:szCs w:val="24"/>
          <w:lang w:val="en-IE"/>
        </w:rPr>
        <w:t xml:space="preserve">with the international framework, contributing to global </w:t>
      </w:r>
      <w:r w:rsidR="00437552" w:rsidRPr="00575CC5">
        <w:rPr>
          <w:rFonts w:ascii="Times New Roman" w:hAnsi="Times New Roman" w:cs="Times New Roman"/>
          <w:noProof/>
          <w:color w:val="000000" w:themeColor="text1"/>
          <w:sz w:val="24"/>
          <w:szCs w:val="24"/>
          <w:lang w:val="en-IE"/>
        </w:rPr>
        <w:t>efforts in this field, with the remaining issue of the</w:t>
      </w:r>
      <w:r w:rsidRPr="00575CC5">
        <w:rPr>
          <w:rFonts w:ascii="Times New Roman" w:hAnsi="Times New Roman" w:cs="Times New Roman"/>
          <w:noProof/>
          <w:color w:val="000000" w:themeColor="text1"/>
          <w:sz w:val="24"/>
          <w:szCs w:val="24"/>
          <w:lang w:val="en-IE"/>
        </w:rPr>
        <w:t xml:space="preserve"> narrow</w:t>
      </w:r>
      <w:r w:rsidR="00D56515">
        <w:rPr>
          <w:rFonts w:ascii="Times New Roman" w:hAnsi="Times New Roman" w:cs="Times New Roman"/>
          <w:noProof/>
          <w:color w:val="000000" w:themeColor="text1"/>
          <w:sz w:val="24"/>
          <w:szCs w:val="24"/>
          <w:lang w:val="en-IE"/>
        </w:rPr>
        <w:t>er</w:t>
      </w:r>
      <w:r w:rsidRPr="00575CC5">
        <w:rPr>
          <w:rFonts w:ascii="Times New Roman" w:hAnsi="Times New Roman" w:cs="Times New Roman"/>
          <w:noProof/>
          <w:color w:val="000000" w:themeColor="text1"/>
          <w:sz w:val="24"/>
          <w:szCs w:val="24"/>
          <w:lang w:val="en-IE"/>
        </w:rPr>
        <w:t xml:space="preserve"> approach </w:t>
      </w:r>
      <w:r w:rsidR="00437552" w:rsidRPr="00575CC5">
        <w:rPr>
          <w:rFonts w:ascii="Times New Roman" w:hAnsi="Times New Roman" w:cs="Times New Roman"/>
          <w:noProof/>
          <w:color w:val="000000" w:themeColor="text1"/>
          <w:sz w:val="24"/>
          <w:szCs w:val="24"/>
          <w:lang w:val="en-IE"/>
        </w:rPr>
        <w:t xml:space="preserve">of </w:t>
      </w:r>
      <w:r w:rsidRPr="00575CC5">
        <w:rPr>
          <w:rFonts w:ascii="Times New Roman" w:hAnsi="Times New Roman" w:cs="Times New Roman"/>
          <w:noProof/>
          <w:color w:val="000000" w:themeColor="text1"/>
          <w:sz w:val="24"/>
          <w:szCs w:val="24"/>
          <w:lang w:val="en-IE"/>
        </w:rPr>
        <w:t xml:space="preserve">predicate offences. </w:t>
      </w:r>
      <w:r w:rsidR="00D003C0" w:rsidRPr="00575CC5">
        <w:rPr>
          <w:rFonts w:ascii="Times New Roman" w:hAnsi="Times New Roman" w:cs="Times New Roman"/>
          <w:noProof/>
          <w:color w:val="000000" w:themeColor="text1"/>
          <w:sz w:val="24"/>
          <w:szCs w:val="24"/>
          <w:lang w:val="en-IE"/>
        </w:rPr>
        <w:t>A</w:t>
      </w:r>
      <w:r w:rsidRPr="00575CC5">
        <w:rPr>
          <w:rFonts w:ascii="Times New Roman" w:hAnsi="Times New Roman" w:cs="Times New Roman"/>
          <w:noProof/>
          <w:color w:val="000000" w:themeColor="text1"/>
          <w:sz w:val="24"/>
          <w:szCs w:val="24"/>
          <w:lang w:val="en-IE"/>
        </w:rPr>
        <w:t xml:space="preserve">t EU level, the </w:t>
      </w:r>
      <w:r w:rsidR="00694FCA">
        <w:rPr>
          <w:rFonts w:ascii="Times New Roman" w:hAnsi="Times New Roman" w:cs="Times New Roman"/>
          <w:noProof/>
          <w:color w:val="000000" w:themeColor="text1"/>
          <w:sz w:val="24"/>
          <w:szCs w:val="24"/>
          <w:lang w:val="en-IE"/>
        </w:rPr>
        <w:t xml:space="preserve">CMLD </w:t>
      </w:r>
      <w:r w:rsidRPr="00575CC5">
        <w:rPr>
          <w:rFonts w:ascii="Times New Roman" w:hAnsi="Times New Roman" w:cs="Times New Roman"/>
          <w:noProof/>
          <w:color w:val="000000" w:themeColor="text1"/>
          <w:sz w:val="24"/>
          <w:szCs w:val="24"/>
          <w:lang w:val="en-IE"/>
        </w:rPr>
        <w:t>fits consistently within the broader legislative landscape. The AML package, the PIF Directive</w:t>
      </w:r>
      <w:r w:rsidR="00D003C0" w:rsidRPr="00575CC5">
        <w:rPr>
          <w:rFonts w:ascii="Times New Roman" w:hAnsi="Times New Roman" w:cs="Times New Roman"/>
          <w:noProof/>
          <w:color w:val="000000" w:themeColor="text1"/>
          <w:sz w:val="24"/>
          <w:szCs w:val="24"/>
          <w:lang w:val="en-IE"/>
        </w:rPr>
        <w:t xml:space="preserve"> and</w:t>
      </w:r>
      <w:r w:rsidRPr="00575CC5">
        <w:rPr>
          <w:rFonts w:ascii="Times New Roman" w:hAnsi="Times New Roman" w:cs="Times New Roman"/>
          <w:noProof/>
          <w:color w:val="000000" w:themeColor="text1"/>
          <w:sz w:val="24"/>
          <w:szCs w:val="24"/>
          <w:lang w:val="en-IE"/>
        </w:rPr>
        <w:t xml:space="preserve"> the ARCD not only complement the </w:t>
      </w:r>
      <w:r w:rsidR="00694FCA">
        <w:rPr>
          <w:rFonts w:ascii="Times New Roman" w:hAnsi="Times New Roman" w:cs="Times New Roman"/>
          <w:noProof/>
          <w:color w:val="000000" w:themeColor="text1"/>
          <w:sz w:val="24"/>
          <w:szCs w:val="24"/>
          <w:lang w:val="en-IE"/>
        </w:rPr>
        <w:t xml:space="preserve">CMLD </w:t>
      </w:r>
      <w:r w:rsidRPr="00575CC5">
        <w:rPr>
          <w:rFonts w:ascii="Times New Roman" w:hAnsi="Times New Roman" w:cs="Times New Roman"/>
          <w:noProof/>
          <w:color w:val="000000" w:themeColor="text1"/>
          <w:sz w:val="24"/>
          <w:szCs w:val="24"/>
          <w:lang w:val="en-IE"/>
        </w:rPr>
        <w:t>but also fill important gaps, particularly in the areas of crypto-assets and asset confiscation.</w:t>
      </w:r>
    </w:p>
    <w:p w14:paraId="34D2EC71" w14:textId="6AAFB7D2" w:rsidR="004263D4" w:rsidRPr="00575CC5" w:rsidRDefault="004263D4" w:rsidP="004263D4">
      <w:pPr>
        <w:jc w:val="both"/>
        <w:rPr>
          <w:rFonts w:ascii="Times New Roman" w:hAnsi="Times New Roman" w:cs="Times New Roman"/>
          <w:noProof/>
          <w:sz w:val="24"/>
          <w:szCs w:val="24"/>
          <w:lang w:val="en-US"/>
        </w:rPr>
      </w:pPr>
      <w:r w:rsidRPr="00575CC5">
        <w:rPr>
          <w:rFonts w:ascii="Times New Roman" w:hAnsi="Times New Roman" w:cs="Times New Roman"/>
          <w:noProof/>
          <w:sz w:val="24"/>
          <w:szCs w:val="24"/>
          <w:lang w:val="en-US"/>
        </w:rPr>
        <w:t xml:space="preserve">At the same time, the Directive </w:t>
      </w:r>
      <w:r w:rsidR="00E31CA9">
        <w:rPr>
          <w:rFonts w:ascii="Times New Roman" w:hAnsi="Times New Roman" w:cs="Times New Roman"/>
          <w:noProof/>
          <w:sz w:val="24"/>
          <w:szCs w:val="24"/>
          <w:lang w:val="en-US"/>
        </w:rPr>
        <w:t>diverges</w:t>
      </w:r>
      <w:r w:rsidR="00DD49BE">
        <w:rPr>
          <w:rFonts w:ascii="Times New Roman" w:hAnsi="Times New Roman" w:cs="Times New Roman"/>
          <w:noProof/>
          <w:sz w:val="24"/>
          <w:szCs w:val="24"/>
          <w:lang w:val="en-US"/>
        </w:rPr>
        <w:t xml:space="preserve"> on some points</w:t>
      </w:r>
      <w:r w:rsidR="00E31CA9">
        <w:rPr>
          <w:rFonts w:ascii="Times New Roman" w:hAnsi="Times New Roman" w:cs="Times New Roman"/>
          <w:noProof/>
          <w:sz w:val="24"/>
          <w:szCs w:val="24"/>
          <w:lang w:val="en-US"/>
        </w:rPr>
        <w:t xml:space="preserve"> </w:t>
      </w:r>
      <w:r w:rsidR="00AA19CD">
        <w:rPr>
          <w:rFonts w:ascii="Times New Roman" w:hAnsi="Times New Roman" w:cs="Times New Roman"/>
          <w:noProof/>
          <w:sz w:val="24"/>
          <w:szCs w:val="24"/>
          <w:lang w:val="en-US"/>
        </w:rPr>
        <w:t>from</w:t>
      </w:r>
      <w:r w:rsidRPr="00575CC5">
        <w:rPr>
          <w:rFonts w:ascii="Times New Roman" w:hAnsi="Times New Roman" w:cs="Times New Roman"/>
          <w:noProof/>
          <w:sz w:val="24"/>
          <w:szCs w:val="24"/>
          <w:lang w:val="en-US"/>
        </w:rPr>
        <w:t xml:space="preserve"> </w:t>
      </w:r>
      <w:r w:rsidR="00DD49BE" w:rsidRPr="00575CC5">
        <w:rPr>
          <w:rFonts w:ascii="Times New Roman" w:hAnsi="Times New Roman" w:cs="Times New Roman"/>
          <w:noProof/>
          <w:sz w:val="24"/>
          <w:szCs w:val="24"/>
          <w:lang w:val="en-US"/>
        </w:rPr>
        <w:t>mo</w:t>
      </w:r>
      <w:r w:rsidR="00DD49BE">
        <w:rPr>
          <w:rFonts w:ascii="Times New Roman" w:hAnsi="Times New Roman" w:cs="Times New Roman"/>
          <w:noProof/>
          <w:sz w:val="24"/>
          <w:szCs w:val="24"/>
          <w:lang w:val="en-US"/>
        </w:rPr>
        <w:t>re</w:t>
      </w:r>
      <w:r w:rsidR="00DD49BE" w:rsidRPr="00575CC5">
        <w:rPr>
          <w:rFonts w:ascii="Times New Roman" w:hAnsi="Times New Roman" w:cs="Times New Roman"/>
          <w:noProof/>
          <w:sz w:val="24"/>
          <w:szCs w:val="24"/>
          <w:lang w:val="en-US"/>
        </w:rPr>
        <w:t xml:space="preserve"> </w:t>
      </w:r>
      <w:r w:rsidRPr="00575CC5">
        <w:rPr>
          <w:rFonts w:ascii="Times New Roman" w:hAnsi="Times New Roman" w:cs="Times New Roman"/>
          <w:noProof/>
          <w:sz w:val="24"/>
          <w:szCs w:val="24"/>
          <w:lang w:val="en-US"/>
        </w:rPr>
        <w:t xml:space="preserve">recent criminal law directives, for example </w:t>
      </w:r>
      <w:r w:rsidR="00FB2F5D">
        <w:rPr>
          <w:rFonts w:ascii="Times New Roman" w:hAnsi="Times New Roman" w:cs="Times New Roman"/>
          <w:noProof/>
          <w:sz w:val="24"/>
          <w:szCs w:val="24"/>
          <w:lang w:val="en-US"/>
        </w:rPr>
        <w:t xml:space="preserve">the </w:t>
      </w:r>
      <w:r w:rsidR="008165B0" w:rsidRPr="00172619">
        <w:rPr>
          <w:rFonts w:ascii="Times New Roman" w:hAnsi="Times New Roman" w:cs="Times New Roman"/>
          <w:noProof/>
          <w:sz w:val="24"/>
          <w:szCs w:val="24"/>
          <w:lang w:val="en-US"/>
        </w:rPr>
        <w:t xml:space="preserve">Directive </w:t>
      </w:r>
      <w:r w:rsidR="008165B0">
        <w:rPr>
          <w:rFonts w:ascii="Times New Roman" w:hAnsi="Times New Roman" w:cs="Times New Roman"/>
          <w:noProof/>
          <w:sz w:val="24"/>
          <w:szCs w:val="24"/>
          <w:lang w:val="en-US"/>
        </w:rPr>
        <w:t xml:space="preserve">(EU) </w:t>
      </w:r>
      <w:r w:rsidR="008165B0" w:rsidRPr="00172619">
        <w:rPr>
          <w:rFonts w:ascii="Times New Roman" w:hAnsi="Times New Roman" w:cs="Times New Roman"/>
          <w:noProof/>
          <w:sz w:val="24"/>
          <w:szCs w:val="24"/>
          <w:lang w:val="en-US"/>
        </w:rPr>
        <w:t>2024/1203 on the protection of the environment through criminal law</w:t>
      </w:r>
      <w:r w:rsidR="008165B0">
        <w:rPr>
          <w:rStyle w:val="FootnoteReference"/>
          <w:rFonts w:ascii="Times New Roman" w:hAnsi="Times New Roman" w:cs="Times New Roman"/>
          <w:noProof/>
          <w:szCs w:val="24"/>
          <w:lang w:val="en-US"/>
        </w:rPr>
        <w:footnoteReference w:id="61"/>
      </w:r>
      <w:r w:rsidR="008165B0">
        <w:rPr>
          <w:rFonts w:ascii="Times New Roman" w:hAnsi="Times New Roman" w:cs="Times New Roman"/>
          <w:noProof/>
          <w:sz w:val="24"/>
          <w:szCs w:val="24"/>
          <w:lang w:val="en-US"/>
        </w:rPr>
        <w:t xml:space="preserve"> and Directive (EU) 2024/1226 on the violation of Union restrictive measures</w:t>
      </w:r>
      <w:r w:rsidR="008165B0">
        <w:rPr>
          <w:rStyle w:val="FootnoteReference"/>
          <w:rFonts w:ascii="Times New Roman" w:hAnsi="Times New Roman" w:cs="Times New Roman"/>
          <w:noProof/>
          <w:szCs w:val="24"/>
          <w:lang w:val="en-US"/>
        </w:rPr>
        <w:footnoteReference w:id="62"/>
      </w:r>
      <w:r w:rsidRPr="00575CC5">
        <w:rPr>
          <w:rFonts w:ascii="Times New Roman" w:hAnsi="Times New Roman" w:cs="Times New Roman"/>
          <w:noProof/>
          <w:sz w:val="24"/>
          <w:szCs w:val="24"/>
          <w:lang w:val="en-US"/>
        </w:rPr>
        <w:t xml:space="preserve">. </w:t>
      </w:r>
      <w:r w:rsidR="00FF4F66">
        <w:rPr>
          <w:rFonts w:ascii="Times New Roman" w:hAnsi="Times New Roman" w:cs="Times New Roman"/>
          <w:noProof/>
          <w:sz w:val="24"/>
          <w:szCs w:val="24"/>
          <w:lang w:val="en-US"/>
        </w:rPr>
        <w:t xml:space="preserve">As a consequence, there is </w:t>
      </w:r>
      <w:r w:rsidR="00DD49BE">
        <w:rPr>
          <w:rFonts w:ascii="Times New Roman" w:hAnsi="Times New Roman" w:cs="Times New Roman"/>
          <w:noProof/>
          <w:sz w:val="24"/>
          <w:szCs w:val="24"/>
          <w:lang w:val="en-US"/>
        </w:rPr>
        <w:t xml:space="preserve">a lack of </w:t>
      </w:r>
      <w:r w:rsidR="00C50B3C">
        <w:rPr>
          <w:rFonts w:ascii="Times New Roman" w:hAnsi="Times New Roman" w:cs="Times New Roman"/>
          <w:noProof/>
          <w:sz w:val="24"/>
          <w:szCs w:val="24"/>
          <w:lang w:val="en-US"/>
        </w:rPr>
        <w:t>consistency</w:t>
      </w:r>
      <w:r w:rsidR="00FF4F66">
        <w:rPr>
          <w:rFonts w:ascii="Times New Roman" w:hAnsi="Times New Roman" w:cs="Times New Roman"/>
          <w:noProof/>
          <w:sz w:val="24"/>
          <w:szCs w:val="24"/>
          <w:lang w:val="en-US"/>
        </w:rPr>
        <w:t xml:space="preserve"> </w:t>
      </w:r>
      <w:r w:rsidR="00DD49BE">
        <w:rPr>
          <w:rFonts w:ascii="Times New Roman" w:hAnsi="Times New Roman" w:cs="Times New Roman"/>
          <w:noProof/>
          <w:sz w:val="24"/>
          <w:szCs w:val="24"/>
          <w:lang w:val="en-US"/>
        </w:rPr>
        <w:t xml:space="preserve">between </w:t>
      </w:r>
      <w:r w:rsidR="00FF4F66" w:rsidRPr="00192CAE">
        <w:rPr>
          <w:rFonts w:ascii="Times New Roman" w:hAnsi="Times New Roman" w:cs="Times New Roman"/>
          <w:noProof/>
          <w:sz w:val="24"/>
          <w:szCs w:val="24"/>
          <w:lang w:val="en-US"/>
        </w:rPr>
        <w:t>EU criminal law instruments</w:t>
      </w:r>
      <w:r w:rsidR="00B77947" w:rsidRPr="00192CAE">
        <w:rPr>
          <w:rFonts w:ascii="Times New Roman" w:hAnsi="Times New Roman" w:cs="Times New Roman"/>
          <w:noProof/>
          <w:sz w:val="24"/>
          <w:szCs w:val="24"/>
          <w:lang w:val="en-US"/>
        </w:rPr>
        <w:t xml:space="preserve">. The need for a more consistent approach to criminal legislation was also highlighted by </w:t>
      </w:r>
      <w:r w:rsidR="00A94052">
        <w:rPr>
          <w:rFonts w:ascii="Times New Roman" w:hAnsi="Times New Roman" w:cs="Times New Roman"/>
          <w:noProof/>
          <w:sz w:val="24"/>
          <w:szCs w:val="24"/>
          <w:lang w:val="en-US"/>
        </w:rPr>
        <w:t xml:space="preserve">the </w:t>
      </w:r>
      <w:r w:rsidR="00B77947" w:rsidRPr="00192CAE">
        <w:rPr>
          <w:rFonts w:ascii="Times New Roman" w:hAnsi="Times New Roman" w:cs="Times New Roman"/>
          <w:noProof/>
          <w:sz w:val="24"/>
          <w:szCs w:val="24"/>
          <w:lang w:val="en-US"/>
        </w:rPr>
        <w:t>Council</w:t>
      </w:r>
      <w:r w:rsidR="00B41080">
        <w:rPr>
          <w:rFonts w:ascii="Times New Roman" w:hAnsi="Times New Roman" w:cs="Times New Roman"/>
          <w:noProof/>
          <w:sz w:val="24"/>
          <w:szCs w:val="24"/>
          <w:lang w:val="en-US"/>
        </w:rPr>
        <w:t xml:space="preserve">. </w:t>
      </w:r>
      <w:r w:rsidR="00814743">
        <w:rPr>
          <w:rFonts w:ascii="Times New Roman" w:hAnsi="Times New Roman" w:cs="Times New Roman"/>
          <w:noProof/>
          <w:sz w:val="24"/>
          <w:szCs w:val="24"/>
          <w:lang w:val="en-US"/>
        </w:rPr>
        <w:t xml:space="preserve">It </w:t>
      </w:r>
      <w:r w:rsidR="00B77947" w:rsidRPr="00192CAE">
        <w:rPr>
          <w:rFonts w:ascii="Times New Roman" w:hAnsi="Times New Roman" w:cs="Times New Roman"/>
          <w:noProof/>
          <w:sz w:val="24"/>
          <w:szCs w:val="24"/>
          <w:lang w:val="en-US"/>
        </w:rPr>
        <w:t xml:space="preserve">adopted conclusions on </w:t>
      </w:r>
      <w:r w:rsidR="00814743">
        <w:rPr>
          <w:rFonts w:ascii="Times New Roman" w:hAnsi="Times New Roman" w:cs="Times New Roman"/>
          <w:noProof/>
          <w:sz w:val="24"/>
          <w:szCs w:val="24"/>
          <w:lang w:val="en-US"/>
        </w:rPr>
        <w:t>‘</w:t>
      </w:r>
      <w:r w:rsidR="00104B38" w:rsidRPr="00192CAE">
        <w:rPr>
          <w:rFonts w:ascii="Times New Roman" w:hAnsi="Times New Roman" w:cs="Times New Roman"/>
          <w:i/>
          <w:iCs/>
          <w:noProof/>
          <w:sz w:val="24"/>
          <w:szCs w:val="24"/>
          <w:lang w:val="en-US"/>
        </w:rPr>
        <w:t>t</w:t>
      </w:r>
      <w:r w:rsidR="00B77947" w:rsidRPr="00192CAE">
        <w:rPr>
          <w:rFonts w:ascii="Times New Roman" w:hAnsi="Times New Roman" w:cs="Times New Roman"/>
          <w:i/>
          <w:iCs/>
          <w:noProof/>
          <w:sz w:val="24"/>
          <w:szCs w:val="24"/>
          <w:lang w:val="en-US"/>
        </w:rPr>
        <w:t>he future of EU criminal law: recommendations on the way forward</w:t>
      </w:r>
      <w:r w:rsidR="00814743">
        <w:rPr>
          <w:rFonts w:ascii="Times New Roman" w:hAnsi="Times New Roman" w:cs="Times New Roman"/>
          <w:noProof/>
          <w:sz w:val="24"/>
          <w:szCs w:val="24"/>
          <w:lang w:val="en-US"/>
        </w:rPr>
        <w:t>‘</w:t>
      </w:r>
      <w:r w:rsidR="00814743" w:rsidRPr="00192CAE">
        <w:rPr>
          <w:rStyle w:val="FootnoteReference"/>
          <w:rFonts w:ascii="Times New Roman" w:hAnsi="Times New Roman" w:cs="Times New Roman"/>
          <w:noProof/>
          <w:szCs w:val="24"/>
          <w:lang w:val="en-US"/>
        </w:rPr>
        <w:footnoteReference w:id="63"/>
      </w:r>
      <w:r w:rsidR="00814743" w:rsidRPr="00192CAE">
        <w:rPr>
          <w:rFonts w:ascii="Times New Roman" w:hAnsi="Times New Roman" w:cs="Times New Roman"/>
          <w:noProof/>
          <w:sz w:val="24"/>
          <w:szCs w:val="24"/>
          <w:lang w:val="en-US"/>
        </w:rPr>
        <w:t xml:space="preserve">, </w:t>
      </w:r>
      <w:r w:rsidR="00B77947" w:rsidRPr="00192CAE">
        <w:rPr>
          <w:rFonts w:ascii="Times New Roman" w:hAnsi="Times New Roman" w:cs="Times New Roman"/>
          <w:noProof/>
          <w:sz w:val="24"/>
          <w:szCs w:val="24"/>
          <w:lang w:val="en-US"/>
        </w:rPr>
        <w:t>inviting the Commission to</w:t>
      </w:r>
      <w:r w:rsidR="00104B38" w:rsidRPr="00192CAE">
        <w:rPr>
          <w:rFonts w:ascii="Times New Roman" w:hAnsi="Times New Roman" w:cs="Times New Roman"/>
          <w:noProof/>
          <w:sz w:val="24"/>
          <w:szCs w:val="24"/>
          <w:lang w:val="en-US"/>
        </w:rPr>
        <w:t xml:space="preserve"> ensure and reinforce the internal consistency of the EU criminal law</w:t>
      </w:r>
      <w:r w:rsidR="00192CAE">
        <w:rPr>
          <w:rFonts w:ascii="Times New Roman" w:hAnsi="Times New Roman" w:cs="Times New Roman"/>
          <w:noProof/>
          <w:sz w:val="24"/>
          <w:szCs w:val="24"/>
          <w:lang w:val="en-US"/>
        </w:rPr>
        <w:t xml:space="preserve"> </w:t>
      </w:r>
      <w:r w:rsidR="3AF1DEBF" w:rsidRPr="00192CAE">
        <w:rPr>
          <w:rFonts w:ascii="Times New Roman" w:hAnsi="Times New Roman" w:cs="Times New Roman"/>
          <w:noProof/>
          <w:sz w:val="24"/>
          <w:szCs w:val="24"/>
          <w:lang w:val="en-US"/>
        </w:rPr>
        <w:t xml:space="preserve">and in the Council conclusions </w:t>
      </w:r>
      <w:r w:rsidR="001078FB" w:rsidRPr="00192CAE">
        <w:rPr>
          <w:rFonts w:ascii="Times New Roman" w:hAnsi="Times New Roman" w:cs="Times New Roman"/>
          <w:noProof/>
          <w:sz w:val="24"/>
          <w:szCs w:val="24"/>
        </w:rPr>
        <w:t xml:space="preserve">on </w:t>
      </w:r>
      <w:r w:rsidR="00814743">
        <w:rPr>
          <w:rFonts w:ascii="Times New Roman" w:hAnsi="Times New Roman" w:cs="Times New Roman"/>
          <w:noProof/>
          <w:sz w:val="24"/>
          <w:szCs w:val="24"/>
        </w:rPr>
        <w:t>‘</w:t>
      </w:r>
      <w:r w:rsidR="001078FB" w:rsidRPr="008A47B8">
        <w:rPr>
          <w:rFonts w:ascii="Times New Roman" w:hAnsi="Times New Roman" w:cs="Times New Roman"/>
          <w:i/>
          <w:iCs/>
          <w:noProof/>
          <w:sz w:val="24"/>
          <w:szCs w:val="24"/>
        </w:rPr>
        <w:t>Model</w:t>
      </w:r>
      <w:r w:rsidR="3AF1DEBF" w:rsidRPr="008A47B8">
        <w:rPr>
          <w:rFonts w:ascii="Times New Roman" w:hAnsi="Times New Roman" w:cs="Times New Roman"/>
          <w:i/>
          <w:iCs/>
          <w:noProof/>
          <w:sz w:val="24"/>
          <w:szCs w:val="24"/>
        </w:rPr>
        <w:t xml:space="preserve"> provisions </w:t>
      </w:r>
      <w:r w:rsidR="001078FB" w:rsidRPr="008A47B8">
        <w:rPr>
          <w:rFonts w:ascii="Times New Roman" w:hAnsi="Times New Roman" w:cs="Times New Roman"/>
          <w:i/>
          <w:iCs/>
          <w:noProof/>
          <w:sz w:val="24"/>
          <w:szCs w:val="24"/>
        </w:rPr>
        <w:t>on EU substantive criminal law</w:t>
      </w:r>
      <w:r w:rsidR="00814743">
        <w:rPr>
          <w:rFonts w:ascii="Times New Roman" w:hAnsi="Times New Roman" w:cs="Times New Roman"/>
          <w:i/>
          <w:iCs/>
          <w:noProof/>
          <w:sz w:val="24"/>
          <w:szCs w:val="24"/>
        </w:rPr>
        <w:t>’</w:t>
      </w:r>
      <w:r w:rsidR="001078FB" w:rsidRPr="00192CAE">
        <w:rPr>
          <w:rStyle w:val="FootnoteReference"/>
          <w:rFonts w:ascii="Times New Roman" w:hAnsi="Times New Roman" w:cs="Times New Roman"/>
          <w:noProof/>
          <w:szCs w:val="24"/>
        </w:rPr>
        <w:footnoteReference w:id="64"/>
      </w:r>
      <w:r w:rsidR="3AF1DEBF" w:rsidRPr="00192CAE">
        <w:rPr>
          <w:rFonts w:ascii="Times New Roman" w:hAnsi="Times New Roman" w:cs="Times New Roman"/>
          <w:noProof/>
          <w:sz w:val="24"/>
          <w:szCs w:val="24"/>
          <w:lang w:val="en-US"/>
        </w:rPr>
        <w:t xml:space="preserve"> where standard </w:t>
      </w:r>
      <w:r w:rsidR="000E5EF4">
        <w:rPr>
          <w:rFonts w:ascii="Times New Roman" w:hAnsi="Times New Roman" w:cs="Times New Roman"/>
          <w:noProof/>
          <w:sz w:val="24"/>
          <w:szCs w:val="24"/>
          <w:lang w:val="en-US"/>
        </w:rPr>
        <w:t xml:space="preserve">non-binding </w:t>
      </w:r>
      <w:r w:rsidR="3AF1DEBF" w:rsidRPr="00192CAE">
        <w:rPr>
          <w:rFonts w:ascii="Times New Roman" w:hAnsi="Times New Roman" w:cs="Times New Roman"/>
          <w:noProof/>
          <w:sz w:val="24"/>
          <w:szCs w:val="24"/>
          <w:lang w:val="en-US"/>
        </w:rPr>
        <w:t>provisions</w:t>
      </w:r>
      <w:r w:rsidR="6A6249C6" w:rsidRPr="00192CAE">
        <w:rPr>
          <w:rFonts w:ascii="Times New Roman" w:hAnsi="Times New Roman" w:cs="Times New Roman"/>
          <w:noProof/>
          <w:sz w:val="24"/>
          <w:szCs w:val="24"/>
          <w:lang w:val="en-US"/>
        </w:rPr>
        <w:t>, inter alia</w:t>
      </w:r>
      <w:r w:rsidR="3AF1DEBF" w:rsidRPr="00192CAE">
        <w:rPr>
          <w:rFonts w:ascii="Times New Roman" w:hAnsi="Times New Roman" w:cs="Times New Roman"/>
          <w:noProof/>
          <w:sz w:val="24"/>
          <w:szCs w:val="24"/>
          <w:lang w:val="en-US"/>
        </w:rPr>
        <w:t xml:space="preserve"> for penalties and sanctions against natural and legal persons</w:t>
      </w:r>
      <w:r w:rsidR="36B18A65" w:rsidRPr="00192CAE">
        <w:rPr>
          <w:rFonts w:ascii="Times New Roman" w:hAnsi="Times New Roman" w:cs="Times New Roman"/>
          <w:noProof/>
          <w:sz w:val="24"/>
          <w:szCs w:val="24"/>
          <w:lang w:val="en-US"/>
        </w:rPr>
        <w:t>,</w:t>
      </w:r>
      <w:r w:rsidR="3AF1DEBF" w:rsidRPr="00192CAE">
        <w:rPr>
          <w:rFonts w:ascii="Times New Roman" w:hAnsi="Times New Roman" w:cs="Times New Roman"/>
          <w:noProof/>
          <w:sz w:val="24"/>
          <w:szCs w:val="24"/>
          <w:lang w:val="en-US"/>
        </w:rPr>
        <w:t xml:space="preserve"> were adopted.</w:t>
      </w:r>
      <w:r w:rsidR="00502D55" w:rsidRPr="352F3B1D">
        <w:rPr>
          <w:rFonts w:ascii="Times New Roman" w:hAnsi="Times New Roman" w:cs="Times New Roman"/>
          <w:noProof/>
          <w:sz w:val="24"/>
          <w:szCs w:val="24"/>
          <w:lang w:val="en-US"/>
        </w:rPr>
        <w:t xml:space="preserve"> </w:t>
      </w:r>
    </w:p>
    <w:p w14:paraId="1AC56F9D" w14:textId="7215CB8B" w:rsidR="004263D4" w:rsidRPr="00575CC5" w:rsidRDefault="004263D4" w:rsidP="004263D4">
      <w:pPr>
        <w:jc w:val="both"/>
        <w:rPr>
          <w:rFonts w:ascii="Times New Roman" w:hAnsi="Times New Roman" w:cs="Times New Roman"/>
          <w:noProof/>
          <w:sz w:val="24"/>
          <w:szCs w:val="24"/>
        </w:rPr>
      </w:pPr>
      <w:r w:rsidRPr="00575CC5">
        <w:rPr>
          <w:rFonts w:ascii="Times New Roman" w:hAnsi="Times New Roman" w:cs="Times New Roman"/>
          <w:noProof/>
          <w:sz w:val="24"/>
          <w:szCs w:val="24"/>
        </w:rPr>
        <w:t xml:space="preserve">Regarding the </w:t>
      </w:r>
      <w:r w:rsidRPr="00575CC5">
        <w:rPr>
          <w:rFonts w:ascii="Times New Roman" w:hAnsi="Times New Roman" w:cs="Times New Roman"/>
          <w:b/>
          <w:noProof/>
          <w:sz w:val="24"/>
          <w:szCs w:val="24"/>
        </w:rPr>
        <w:t>application of additional penalties against natural persons</w:t>
      </w:r>
      <w:r w:rsidRPr="00575CC5">
        <w:rPr>
          <w:rFonts w:ascii="Times New Roman" w:hAnsi="Times New Roman" w:cs="Times New Roman"/>
          <w:noProof/>
          <w:sz w:val="24"/>
          <w:szCs w:val="24"/>
        </w:rPr>
        <w:t xml:space="preserve">, the Directive requires Member States to </w:t>
      </w:r>
      <w:r w:rsidR="00A97C8D">
        <w:rPr>
          <w:rFonts w:ascii="Times New Roman" w:hAnsi="Times New Roman" w:cs="Times New Roman"/>
          <w:noProof/>
          <w:sz w:val="24"/>
          <w:szCs w:val="24"/>
        </w:rPr>
        <w:t>make provision for</w:t>
      </w:r>
      <w:r w:rsidRPr="00575CC5">
        <w:rPr>
          <w:rFonts w:ascii="Times New Roman" w:hAnsi="Times New Roman" w:cs="Times New Roman"/>
          <w:noProof/>
          <w:sz w:val="24"/>
          <w:szCs w:val="24"/>
        </w:rPr>
        <w:t xml:space="preserve">, in addition to </w:t>
      </w:r>
      <w:r w:rsidR="00D34169">
        <w:rPr>
          <w:rFonts w:ascii="Times New Roman" w:hAnsi="Times New Roman" w:cs="Times New Roman"/>
          <w:noProof/>
          <w:sz w:val="24"/>
          <w:szCs w:val="24"/>
        </w:rPr>
        <w:t>imprisonment</w:t>
      </w:r>
      <w:r w:rsidRPr="00575CC5">
        <w:rPr>
          <w:rFonts w:ascii="Times New Roman" w:hAnsi="Times New Roman" w:cs="Times New Roman"/>
          <w:noProof/>
          <w:sz w:val="24"/>
          <w:szCs w:val="24"/>
        </w:rPr>
        <w:t>, additional sanctions or measures against perpetrators of money laundering</w:t>
      </w:r>
      <w:r w:rsidR="00A97C8D">
        <w:rPr>
          <w:rFonts w:ascii="Times New Roman" w:hAnsi="Times New Roman" w:cs="Times New Roman"/>
          <w:noProof/>
          <w:sz w:val="24"/>
          <w:szCs w:val="24"/>
        </w:rPr>
        <w:t>. The fact that the Directive does not</w:t>
      </w:r>
      <w:r w:rsidRPr="00575CC5">
        <w:rPr>
          <w:rFonts w:ascii="Times New Roman" w:hAnsi="Times New Roman" w:cs="Times New Roman"/>
          <w:noProof/>
          <w:sz w:val="24"/>
          <w:szCs w:val="24"/>
        </w:rPr>
        <w:t xml:space="preserve"> </w:t>
      </w:r>
      <w:r w:rsidR="00A97C8D" w:rsidRPr="00575CC5">
        <w:rPr>
          <w:rFonts w:ascii="Times New Roman" w:hAnsi="Times New Roman" w:cs="Times New Roman"/>
          <w:noProof/>
          <w:sz w:val="24"/>
          <w:szCs w:val="24"/>
        </w:rPr>
        <w:t>specify</w:t>
      </w:r>
      <w:r w:rsidR="00A97C8D">
        <w:rPr>
          <w:rFonts w:ascii="Times New Roman" w:hAnsi="Times New Roman" w:cs="Times New Roman"/>
          <w:noProof/>
          <w:sz w:val="24"/>
          <w:szCs w:val="24"/>
        </w:rPr>
        <w:t xml:space="preserve"> </w:t>
      </w:r>
      <w:r w:rsidRPr="00575CC5">
        <w:rPr>
          <w:rFonts w:ascii="Times New Roman" w:hAnsi="Times New Roman" w:cs="Times New Roman"/>
          <w:noProof/>
          <w:sz w:val="24"/>
          <w:szCs w:val="24"/>
        </w:rPr>
        <w:t>which type of measure</w:t>
      </w:r>
      <w:r w:rsidR="000074DA">
        <w:rPr>
          <w:rFonts w:ascii="Times New Roman" w:hAnsi="Times New Roman" w:cs="Times New Roman"/>
          <w:noProof/>
          <w:sz w:val="24"/>
          <w:szCs w:val="24"/>
        </w:rPr>
        <w:t xml:space="preserve"> should be imposed</w:t>
      </w:r>
      <w:r w:rsidRPr="00575CC5">
        <w:rPr>
          <w:rFonts w:ascii="Times New Roman" w:hAnsi="Times New Roman" w:cs="Times New Roman"/>
          <w:noProof/>
          <w:sz w:val="24"/>
          <w:szCs w:val="24"/>
        </w:rPr>
        <w:t xml:space="preserve">, </w:t>
      </w:r>
      <w:r w:rsidR="000074DA">
        <w:rPr>
          <w:rFonts w:ascii="Times New Roman" w:hAnsi="Times New Roman" w:cs="Times New Roman"/>
          <w:noProof/>
          <w:sz w:val="24"/>
          <w:szCs w:val="24"/>
        </w:rPr>
        <w:t>causes</w:t>
      </w:r>
      <w:r w:rsidRPr="00575CC5">
        <w:rPr>
          <w:rFonts w:ascii="Times New Roman" w:hAnsi="Times New Roman" w:cs="Times New Roman"/>
          <w:noProof/>
          <w:sz w:val="24"/>
          <w:szCs w:val="24"/>
        </w:rPr>
        <w:t xml:space="preserve"> variation</w:t>
      </w:r>
      <w:r w:rsidR="000074DA">
        <w:rPr>
          <w:rFonts w:ascii="Times New Roman" w:hAnsi="Times New Roman" w:cs="Times New Roman"/>
          <w:noProof/>
          <w:sz w:val="24"/>
          <w:szCs w:val="24"/>
        </w:rPr>
        <w:t>s</w:t>
      </w:r>
      <w:r w:rsidRPr="00575CC5">
        <w:rPr>
          <w:rFonts w:ascii="Times New Roman" w:hAnsi="Times New Roman" w:cs="Times New Roman"/>
          <w:noProof/>
          <w:sz w:val="24"/>
          <w:szCs w:val="24"/>
        </w:rPr>
        <w:t xml:space="preserve"> in national transpositions. In contrast, more recent EU criminal law instruments explicitly list possible</w:t>
      </w:r>
      <w:r w:rsidR="00E250B4">
        <w:rPr>
          <w:rFonts w:ascii="Times New Roman" w:hAnsi="Times New Roman" w:cs="Times New Roman"/>
          <w:noProof/>
          <w:sz w:val="24"/>
          <w:szCs w:val="24"/>
        </w:rPr>
        <w:t xml:space="preserve"> optional</w:t>
      </w:r>
      <w:r w:rsidRPr="00575CC5">
        <w:rPr>
          <w:rFonts w:ascii="Times New Roman" w:hAnsi="Times New Roman" w:cs="Times New Roman"/>
          <w:noProof/>
          <w:sz w:val="24"/>
          <w:szCs w:val="24"/>
        </w:rPr>
        <w:t xml:space="preserve"> measures for Member States to apply against natural persons, such as fines, exclusion from funding and public tenders, withdrawals of permits or temporary bans on running for public office. </w:t>
      </w:r>
    </w:p>
    <w:p w14:paraId="2E089209" w14:textId="55D06B73" w:rsidR="004263D4" w:rsidRPr="00575CC5" w:rsidRDefault="004263D4" w:rsidP="004263D4">
      <w:pPr>
        <w:jc w:val="both"/>
        <w:rPr>
          <w:rFonts w:ascii="Times New Roman" w:hAnsi="Times New Roman" w:cs="Times New Roman"/>
          <w:noProof/>
          <w:sz w:val="24"/>
          <w:szCs w:val="24"/>
        </w:rPr>
      </w:pPr>
      <w:r w:rsidRPr="00575CC5">
        <w:rPr>
          <w:rFonts w:ascii="Times New Roman" w:hAnsi="Times New Roman" w:cs="Times New Roman"/>
          <w:noProof/>
          <w:sz w:val="24"/>
          <w:szCs w:val="24"/>
        </w:rPr>
        <w:t xml:space="preserve">A similar issue occurs with regards to </w:t>
      </w:r>
      <w:r w:rsidRPr="00575CC5">
        <w:rPr>
          <w:rFonts w:ascii="Times New Roman" w:hAnsi="Times New Roman" w:cs="Times New Roman"/>
          <w:b/>
          <w:noProof/>
          <w:sz w:val="24"/>
          <w:szCs w:val="24"/>
        </w:rPr>
        <w:t>sanctions for legal persons</w:t>
      </w:r>
      <w:r w:rsidRPr="00575CC5">
        <w:rPr>
          <w:rFonts w:ascii="Times New Roman" w:hAnsi="Times New Roman" w:cs="Times New Roman"/>
          <w:noProof/>
          <w:sz w:val="24"/>
          <w:szCs w:val="24"/>
        </w:rPr>
        <w:t xml:space="preserve">. </w:t>
      </w:r>
      <w:r w:rsidR="00DD49BE">
        <w:rPr>
          <w:rFonts w:ascii="Times New Roman" w:hAnsi="Times New Roman" w:cs="Times New Roman"/>
          <w:noProof/>
          <w:sz w:val="24"/>
          <w:szCs w:val="24"/>
        </w:rPr>
        <w:t>While</w:t>
      </w:r>
      <w:r w:rsidRPr="00575CC5">
        <w:rPr>
          <w:rFonts w:ascii="Times New Roman" w:hAnsi="Times New Roman" w:cs="Times New Roman"/>
          <w:noProof/>
          <w:sz w:val="24"/>
          <w:szCs w:val="24"/>
        </w:rPr>
        <w:t xml:space="preserve"> in this case the Directive</w:t>
      </w:r>
      <w:r w:rsidR="00DD49BE">
        <w:rPr>
          <w:rFonts w:ascii="Times New Roman" w:hAnsi="Times New Roman" w:cs="Times New Roman"/>
          <w:noProof/>
          <w:sz w:val="24"/>
          <w:szCs w:val="24"/>
        </w:rPr>
        <w:t xml:space="preserve"> does</w:t>
      </w:r>
      <w:r w:rsidRPr="00575CC5">
        <w:rPr>
          <w:rFonts w:ascii="Times New Roman" w:hAnsi="Times New Roman" w:cs="Times New Roman"/>
          <w:noProof/>
          <w:sz w:val="24"/>
          <w:szCs w:val="24"/>
        </w:rPr>
        <w:t xml:space="preserve"> provide a list of possible </w:t>
      </w:r>
      <w:r w:rsidR="00A80857">
        <w:rPr>
          <w:rFonts w:ascii="Times New Roman" w:hAnsi="Times New Roman" w:cs="Times New Roman"/>
          <w:noProof/>
          <w:sz w:val="24"/>
          <w:szCs w:val="24"/>
        </w:rPr>
        <w:t xml:space="preserve">additional </w:t>
      </w:r>
      <w:r w:rsidRPr="00575CC5">
        <w:rPr>
          <w:rFonts w:ascii="Times New Roman" w:hAnsi="Times New Roman" w:cs="Times New Roman"/>
          <w:noProof/>
          <w:sz w:val="24"/>
          <w:szCs w:val="24"/>
        </w:rPr>
        <w:t>sanctions</w:t>
      </w:r>
      <w:r w:rsidR="00A80857">
        <w:rPr>
          <w:rFonts w:ascii="Times New Roman" w:hAnsi="Times New Roman" w:cs="Times New Roman"/>
          <w:noProof/>
          <w:sz w:val="24"/>
          <w:szCs w:val="24"/>
        </w:rPr>
        <w:t xml:space="preserve"> </w:t>
      </w:r>
      <w:r w:rsidRPr="00575CC5">
        <w:rPr>
          <w:rFonts w:ascii="Times New Roman" w:hAnsi="Times New Roman" w:cs="Times New Roman"/>
          <w:noProof/>
          <w:sz w:val="24"/>
          <w:szCs w:val="24"/>
        </w:rPr>
        <w:t xml:space="preserve">these </w:t>
      </w:r>
      <w:r w:rsidR="00DD49BE">
        <w:rPr>
          <w:rFonts w:ascii="Times New Roman" w:hAnsi="Times New Roman" w:cs="Times New Roman"/>
          <w:noProof/>
          <w:sz w:val="24"/>
          <w:szCs w:val="24"/>
        </w:rPr>
        <w:t>remain</w:t>
      </w:r>
      <w:r w:rsidRPr="00575CC5">
        <w:rPr>
          <w:rFonts w:ascii="Times New Roman" w:hAnsi="Times New Roman" w:cs="Times New Roman"/>
          <w:noProof/>
          <w:sz w:val="24"/>
          <w:szCs w:val="24"/>
        </w:rPr>
        <w:t xml:space="preserve"> optional and</w:t>
      </w:r>
      <w:r w:rsidR="00DD49BE">
        <w:rPr>
          <w:rFonts w:ascii="Times New Roman" w:hAnsi="Times New Roman" w:cs="Times New Roman"/>
          <w:noProof/>
          <w:sz w:val="24"/>
          <w:szCs w:val="24"/>
        </w:rPr>
        <w:t xml:space="preserve"> are</w:t>
      </w:r>
      <w:r w:rsidRPr="00575CC5">
        <w:rPr>
          <w:rFonts w:ascii="Times New Roman" w:hAnsi="Times New Roman" w:cs="Times New Roman"/>
          <w:noProof/>
          <w:sz w:val="24"/>
          <w:szCs w:val="24"/>
        </w:rPr>
        <w:t xml:space="preserve"> not </w:t>
      </w:r>
      <w:r w:rsidR="000074DA">
        <w:rPr>
          <w:rFonts w:ascii="Times New Roman" w:hAnsi="Times New Roman" w:cs="Times New Roman"/>
          <w:noProof/>
          <w:sz w:val="24"/>
          <w:szCs w:val="24"/>
        </w:rPr>
        <w:t>outlined</w:t>
      </w:r>
      <w:r w:rsidR="000074DA" w:rsidRPr="00575CC5">
        <w:rPr>
          <w:rFonts w:ascii="Times New Roman" w:hAnsi="Times New Roman" w:cs="Times New Roman"/>
          <w:noProof/>
          <w:sz w:val="24"/>
          <w:szCs w:val="24"/>
        </w:rPr>
        <w:t xml:space="preserve"> </w:t>
      </w:r>
      <w:r w:rsidRPr="00575CC5">
        <w:rPr>
          <w:rFonts w:ascii="Times New Roman" w:hAnsi="Times New Roman" w:cs="Times New Roman"/>
          <w:noProof/>
          <w:sz w:val="24"/>
          <w:szCs w:val="24"/>
        </w:rPr>
        <w:t xml:space="preserve">in sufficient detail. </w:t>
      </w:r>
      <w:r w:rsidR="001B245C">
        <w:rPr>
          <w:rFonts w:ascii="Times New Roman" w:hAnsi="Times New Roman" w:cs="Times New Roman"/>
          <w:noProof/>
          <w:sz w:val="24"/>
          <w:szCs w:val="24"/>
        </w:rPr>
        <w:t xml:space="preserve">Fines are foreseen to be mandatorily implemented by Member States, but the Directive does not further specify how they are calculated. </w:t>
      </w:r>
      <w:r w:rsidR="00DD49BE">
        <w:rPr>
          <w:rFonts w:ascii="Times New Roman" w:hAnsi="Times New Roman" w:cs="Times New Roman"/>
          <w:noProof/>
          <w:sz w:val="24"/>
          <w:szCs w:val="24"/>
        </w:rPr>
        <w:t>T</w:t>
      </w:r>
      <w:r w:rsidRPr="00575CC5">
        <w:rPr>
          <w:rFonts w:ascii="Times New Roman" w:hAnsi="Times New Roman" w:cs="Times New Roman"/>
          <w:noProof/>
          <w:sz w:val="24"/>
          <w:szCs w:val="24"/>
        </w:rPr>
        <w:t xml:space="preserve">his contrasts with the most recent criminal law legislation, which foresees </w:t>
      </w:r>
      <w:r w:rsidR="007766F1">
        <w:rPr>
          <w:rFonts w:ascii="Times New Roman" w:hAnsi="Times New Roman" w:cs="Times New Roman"/>
          <w:noProof/>
          <w:sz w:val="24"/>
          <w:szCs w:val="24"/>
        </w:rPr>
        <w:t>that the minimum levels of maximum fines for legal persons</w:t>
      </w:r>
      <w:r w:rsidR="007766F1" w:rsidRPr="00575CC5">
        <w:rPr>
          <w:rFonts w:ascii="Times New Roman" w:hAnsi="Times New Roman" w:cs="Times New Roman"/>
          <w:noProof/>
          <w:sz w:val="24"/>
          <w:szCs w:val="24"/>
        </w:rPr>
        <w:t xml:space="preserve"> </w:t>
      </w:r>
      <w:r w:rsidRPr="00575CC5">
        <w:rPr>
          <w:rFonts w:ascii="Times New Roman" w:hAnsi="Times New Roman" w:cs="Times New Roman"/>
          <w:noProof/>
          <w:sz w:val="24"/>
          <w:szCs w:val="24"/>
        </w:rPr>
        <w:t xml:space="preserve">for offences </w:t>
      </w:r>
      <w:r w:rsidR="007766F1">
        <w:rPr>
          <w:rFonts w:ascii="Times New Roman" w:hAnsi="Times New Roman" w:cs="Times New Roman"/>
          <w:noProof/>
          <w:sz w:val="24"/>
          <w:szCs w:val="24"/>
        </w:rPr>
        <w:t>covered by the respective Directive are</w:t>
      </w:r>
      <w:r w:rsidR="004952F7">
        <w:rPr>
          <w:rFonts w:ascii="Times New Roman" w:hAnsi="Times New Roman" w:cs="Times New Roman"/>
          <w:noProof/>
          <w:sz w:val="24"/>
          <w:szCs w:val="24"/>
        </w:rPr>
        <w:t xml:space="preserve"> to be calculated </w:t>
      </w:r>
      <w:r w:rsidRPr="00575CC5">
        <w:rPr>
          <w:rFonts w:ascii="Times New Roman" w:hAnsi="Times New Roman" w:cs="Times New Roman"/>
          <w:noProof/>
          <w:sz w:val="24"/>
          <w:szCs w:val="24"/>
        </w:rPr>
        <w:t xml:space="preserve">either </w:t>
      </w:r>
      <w:r w:rsidR="004952F7">
        <w:rPr>
          <w:rFonts w:ascii="Times New Roman" w:hAnsi="Times New Roman" w:cs="Times New Roman"/>
          <w:noProof/>
          <w:sz w:val="24"/>
          <w:szCs w:val="24"/>
        </w:rPr>
        <w:t xml:space="preserve">based on </w:t>
      </w:r>
      <w:r w:rsidRPr="00575CC5">
        <w:rPr>
          <w:rFonts w:ascii="Times New Roman" w:hAnsi="Times New Roman" w:cs="Times New Roman"/>
          <w:noProof/>
          <w:sz w:val="24"/>
          <w:szCs w:val="24"/>
        </w:rPr>
        <w:t xml:space="preserve">a percentage of the global </w:t>
      </w:r>
      <w:r w:rsidR="004952F7">
        <w:rPr>
          <w:rFonts w:ascii="Times New Roman" w:hAnsi="Times New Roman" w:cs="Times New Roman"/>
          <w:noProof/>
          <w:sz w:val="24"/>
          <w:szCs w:val="24"/>
        </w:rPr>
        <w:t xml:space="preserve">worldwide </w:t>
      </w:r>
      <w:r w:rsidRPr="00575CC5">
        <w:rPr>
          <w:rFonts w:ascii="Times New Roman" w:hAnsi="Times New Roman" w:cs="Times New Roman"/>
          <w:noProof/>
          <w:sz w:val="24"/>
          <w:szCs w:val="24"/>
        </w:rPr>
        <w:t xml:space="preserve">turnover or </w:t>
      </w:r>
      <w:r w:rsidR="004952F7">
        <w:rPr>
          <w:rFonts w:ascii="Times New Roman" w:hAnsi="Times New Roman" w:cs="Times New Roman"/>
          <w:noProof/>
          <w:sz w:val="24"/>
          <w:szCs w:val="24"/>
        </w:rPr>
        <w:t xml:space="preserve">on </w:t>
      </w:r>
      <w:r w:rsidRPr="00575CC5">
        <w:rPr>
          <w:rFonts w:ascii="Times New Roman" w:hAnsi="Times New Roman" w:cs="Times New Roman"/>
          <w:noProof/>
          <w:sz w:val="24"/>
          <w:szCs w:val="24"/>
        </w:rPr>
        <w:t xml:space="preserve">a specific </w:t>
      </w:r>
      <w:r w:rsidR="004952F7">
        <w:rPr>
          <w:rFonts w:ascii="Times New Roman" w:hAnsi="Times New Roman" w:cs="Times New Roman"/>
          <w:noProof/>
          <w:sz w:val="24"/>
          <w:szCs w:val="24"/>
        </w:rPr>
        <w:t xml:space="preserve">fixed </w:t>
      </w:r>
      <w:r w:rsidRPr="00575CC5">
        <w:rPr>
          <w:rFonts w:ascii="Times New Roman" w:hAnsi="Times New Roman" w:cs="Times New Roman"/>
          <w:noProof/>
          <w:sz w:val="24"/>
          <w:szCs w:val="24"/>
        </w:rPr>
        <w:t>amount</w:t>
      </w:r>
      <w:r w:rsidRPr="00575CC5">
        <w:rPr>
          <w:rFonts w:ascii="Times New Roman" w:hAnsi="Times New Roman" w:cs="Times New Roman"/>
          <w:noProof/>
          <w:sz w:val="24"/>
          <w:szCs w:val="24"/>
          <w:vertAlign w:val="superscript"/>
        </w:rPr>
        <w:footnoteReference w:id="65"/>
      </w:r>
      <w:r w:rsidRPr="00575CC5">
        <w:rPr>
          <w:rFonts w:ascii="Times New Roman" w:hAnsi="Times New Roman" w:cs="Times New Roman"/>
          <w:noProof/>
          <w:sz w:val="24"/>
          <w:szCs w:val="24"/>
        </w:rPr>
        <w:t>.</w:t>
      </w:r>
    </w:p>
    <w:p w14:paraId="281E8AC6" w14:textId="59CED08C" w:rsidR="00147D71" w:rsidRPr="00A56091" w:rsidRDefault="009610DF" w:rsidP="0038355E">
      <w:pPr>
        <w:pStyle w:val="Heading1"/>
        <w:numPr>
          <w:ilvl w:val="1"/>
          <w:numId w:val="3"/>
        </w:numPr>
        <w:rPr>
          <w:bCs/>
          <w:smallCaps w:val="0"/>
          <w:noProof/>
          <w:szCs w:val="24"/>
        </w:rPr>
      </w:pPr>
      <w:bookmarkStart w:id="39" w:name="_Toc223439255"/>
      <w:r w:rsidRPr="00A56091">
        <w:rPr>
          <w:bCs/>
          <w:smallCaps w:val="0"/>
          <w:noProof/>
          <w:szCs w:val="24"/>
        </w:rPr>
        <w:t>How did the EU</w:t>
      </w:r>
      <w:r w:rsidR="00147D71" w:rsidRPr="00A56091">
        <w:rPr>
          <w:bCs/>
          <w:smallCaps w:val="0"/>
          <w:noProof/>
          <w:szCs w:val="24"/>
        </w:rPr>
        <w:t xml:space="preserve"> inter</w:t>
      </w:r>
      <w:r w:rsidR="00E71F52" w:rsidRPr="00A56091">
        <w:rPr>
          <w:bCs/>
          <w:smallCaps w:val="0"/>
          <w:noProof/>
          <w:szCs w:val="24"/>
        </w:rPr>
        <w:t>vention make a difference</w:t>
      </w:r>
      <w:r w:rsidR="003A4E50" w:rsidRPr="00A56091">
        <w:rPr>
          <w:bCs/>
          <w:smallCaps w:val="0"/>
          <w:noProof/>
          <w:szCs w:val="24"/>
        </w:rPr>
        <w:t xml:space="preserve"> and to whom</w:t>
      </w:r>
      <w:r w:rsidR="00147D71" w:rsidRPr="00A56091">
        <w:rPr>
          <w:bCs/>
          <w:smallCaps w:val="0"/>
          <w:noProof/>
          <w:szCs w:val="24"/>
        </w:rPr>
        <w:t>?</w:t>
      </w:r>
      <w:bookmarkEnd w:id="33"/>
      <w:bookmarkEnd w:id="39"/>
    </w:p>
    <w:p w14:paraId="2D1CCC9C" w14:textId="3C341D09" w:rsidR="001B4CA4" w:rsidRDefault="00412F5A" w:rsidP="00846CE0">
      <w:pPr>
        <w:pStyle w:val="Heading3"/>
        <w:rPr>
          <w:rFonts w:ascii="Times New Roman" w:hAnsi="Times New Roman" w:cs="Times New Roman"/>
          <w:b/>
          <w:bCs/>
          <w:noProof/>
          <w:color w:val="000000" w:themeColor="text1"/>
          <w:lang w:val="en-IE"/>
        </w:rPr>
      </w:pPr>
      <w:bookmarkStart w:id="40" w:name="_Toc223439256"/>
      <w:r w:rsidRPr="00575CC5">
        <w:rPr>
          <w:rFonts w:ascii="Times New Roman" w:hAnsi="Times New Roman" w:cs="Times New Roman"/>
          <w:b/>
          <w:bCs/>
          <w:noProof/>
          <w:color w:val="000000" w:themeColor="text1"/>
          <w:lang w:val="en-IE"/>
        </w:rPr>
        <w:t>4.2.1 EU added value</w:t>
      </w:r>
      <w:bookmarkEnd w:id="40"/>
    </w:p>
    <w:p w14:paraId="628B09A4" w14:textId="77777777" w:rsidR="00846CE0" w:rsidRPr="00846CE0" w:rsidRDefault="00846CE0" w:rsidP="00846CE0">
      <w:pPr>
        <w:rPr>
          <w:noProof/>
          <w:lang w:val="en-IE"/>
        </w:rPr>
      </w:pPr>
    </w:p>
    <w:tbl>
      <w:tblPr>
        <w:tblStyle w:val="TableGrid"/>
        <w:tblW w:w="0" w:type="auto"/>
        <w:tblLook w:val="04A0" w:firstRow="1" w:lastRow="0" w:firstColumn="1" w:lastColumn="0" w:noHBand="0" w:noVBand="1"/>
      </w:tblPr>
      <w:tblGrid>
        <w:gridCol w:w="8861"/>
      </w:tblGrid>
      <w:tr w:rsidR="001B4CA4" w:rsidRPr="00846CE0" w14:paraId="7EE2E087" w14:textId="77777777">
        <w:tc>
          <w:tcPr>
            <w:tcW w:w="8861" w:type="dxa"/>
          </w:tcPr>
          <w:p w14:paraId="4A894D9C" w14:textId="77777777" w:rsidR="001B4CA4" w:rsidRPr="00846CE0" w:rsidRDefault="001B4CA4">
            <w:pPr>
              <w:rPr>
                <w:b/>
                <w:bCs/>
                <w:noProof/>
                <w:color w:val="000000" w:themeColor="text1"/>
                <w:lang w:val="en-IE"/>
              </w:rPr>
            </w:pPr>
            <w:r w:rsidRPr="00846CE0">
              <w:rPr>
                <w:b/>
                <w:bCs/>
                <w:noProof/>
                <w:color w:val="000000" w:themeColor="text1"/>
                <w:lang w:val="en-IE"/>
              </w:rPr>
              <w:t>Main findings:</w:t>
            </w:r>
          </w:p>
          <w:p w14:paraId="38FA9F8F" w14:textId="77777777" w:rsidR="001B4CA4" w:rsidRPr="00F02686" w:rsidRDefault="001B4CA4" w:rsidP="001B4CA4">
            <w:pPr>
              <w:pStyle w:val="ListParagraph"/>
              <w:numPr>
                <w:ilvl w:val="0"/>
                <w:numId w:val="58"/>
              </w:numPr>
              <w:spacing w:after="0"/>
              <w:rPr>
                <w:b/>
                <w:bCs/>
                <w:noProof/>
                <w:color w:val="000000" w:themeColor="text1"/>
                <w:sz w:val="20"/>
                <w:lang w:val="en-IE"/>
              </w:rPr>
            </w:pPr>
            <w:r w:rsidRPr="00F02686">
              <w:rPr>
                <w:noProof/>
                <w:sz w:val="20"/>
                <w:lang w:val="en-IE"/>
              </w:rPr>
              <w:t>Stakeholders broadly agreed that the Directive created significant EU added value by establishing a level playing field and harmonising money laundering offences and penalties across Member States.</w:t>
            </w:r>
          </w:p>
          <w:p w14:paraId="722E8CF7" w14:textId="1C4A1B07" w:rsidR="001B4CA4" w:rsidRPr="00F02686" w:rsidRDefault="00846CE0" w:rsidP="00F02686">
            <w:pPr>
              <w:pStyle w:val="ListParagraph"/>
              <w:numPr>
                <w:ilvl w:val="0"/>
                <w:numId w:val="58"/>
              </w:numPr>
              <w:spacing w:after="0"/>
              <w:rPr>
                <w:b/>
                <w:bCs/>
                <w:noProof/>
                <w:color w:val="000000" w:themeColor="text1"/>
                <w:sz w:val="20"/>
                <w:lang w:val="en-IE"/>
              </w:rPr>
            </w:pPr>
            <w:r w:rsidRPr="00F02686">
              <w:rPr>
                <w:noProof/>
                <w:sz w:val="20"/>
                <w:lang w:val="en-IE"/>
              </w:rPr>
              <w:t>The Directive offers limited added value to countries where its core provisions were already enshrined in national law—though they still gain from improved cross-border cooperation—while the inconsistent adoption of optional measures has undermined full harmonisation.</w:t>
            </w:r>
          </w:p>
        </w:tc>
      </w:tr>
    </w:tbl>
    <w:p w14:paraId="5BA59117" w14:textId="77777777" w:rsidR="001B4CA4" w:rsidRPr="00F02686" w:rsidRDefault="001B4CA4" w:rsidP="00F02686">
      <w:pPr>
        <w:rPr>
          <w:noProof/>
          <w:lang w:val="en-IE"/>
        </w:rPr>
      </w:pPr>
    </w:p>
    <w:p w14:paraId="7574B9FF" w14:textId="6F5C8306" w:rsidR="00412F5A" w:rsidRPr="00575CC5" w:rsidRDefault="00412F5A" w:rsidP="00412F5A">
      <w:pPr>
        <w:jc w:val="both"/>
        <w:rPr>
          <w:rFonts w:ascii="Times New Roman" w:hAnsi="Times New Roman" w:cs="Times New Roman"/>
          <w:noProof/>
          <w:sz w:val="24"/>
          <w:szCs w:val="24"/>
          <w:lang w:val="en-IE"/>
        </w:rPr>
      </w:pPr>
      <w:bookmarkStart w:id="41" w:name="_Toc213782305"/>
      <w:r w:rsidRPr="00575CC5">
        <w:rPr>
          <w:rFonts w:ascii="Times New Roman" w:hAnsi="Times New Roman" w:cs="Times New Roman"/>
          <w:noProof/>
          <w:sz w:val="24"/>
          <w:szCs w:val="24"/>
          <w:lang w:val="en-IE"/>
        </w:rPr>
        <w:t>This section assesses the EU added value of Directive (EU) 2018/1673 compared with what Member States could have achieved individually</w:t>
      </w:r>
      <w:r w:rsidR="00A237C5">
        <w:rPr>
          <w:rFonts w:ascii="Times New Roman" w:hAnsi="Times New Roman" w:cs="Times New Roman"/>
          <w:noProof/>
          <w:sz w:val="24"/>
          <w:szCs w:val="24"/>
          <w:lang w:val="en-IE"/>
        </w:rPr>
        <w:t xml:space="preserve"> to face a threat that is transnational in nature</w:t>
      </w:r>
      <w:r w:rsidRPr="00575CC5">
        <w:rPr>
          <w:rFonts w:ascii="Times New Roman" w:hAnsi="Times New Roman" w:cs="Times New Roman"/>
          <w:noProof/>
          <w:sz w:val="24"/>
          <w:szCs w:val="24"/>
          <w:lang w:val="en-IE"/>
        </w:rPr>
        <w:t xml:space="preserve">. </w:t>
      </w:r>
      <w:r w:rsidR="00FA144A">
        <w:rPr>
          <w:rFonts w:ascii="Times New Roman" w:hAnsi="Times New Roman" w:cs="Times New Roman"/>
          <w:noProof/>
          <w:sz w:val="24"/>
          <w:szCs w:val="24"/>
          <w:lang w:val="en-IE"/>
        </w:rPr>
        <w:t>Criminal</w:t>
      </w:r>
      <w:r w:rsidR="00711278">
        <w:rPr>
          <w:rFonts w:ascii="Times New Roman" w:hAnsi="Times New Roman" w:cs="Times New Roman"/>
          <w:noProof/>
          <w:sz w:val="24"/>
          <w:szCs w:val="24"/>
          <w:lang w:val="en-IE"/>
        </w:rPr>
        <w:t xml:space="preserve"> organisations and their </w:t>
      </w:r>
      <w:r w:rsidR="00A237C5" w:rsidRPr="00A237C5">
        <w:rPr>
          <w:rFonts w:ascii="Times New Roman" w:hAnsi="Times New Roman" w:cs="Times New Roman"/>
          <w:noProof/>
          <w:sz w:val="24"/>
          <w:szCs w:val="24"/>
          <w:lang w:val="en-IE"/>
        </w:rPr>
        <w:t>money launderers transfer money and assets across borders and set up complex transnational ownership schemes to obscure the illicit origin of the funds and hide the financial trail from the radar of authorities</w:t>
      </w:r>
      <w:r w:rsidR="00A237C5">
        <w:rPr>
          <w:rFonts w:ascii="Times New Roman" w:hAnsi="Times New Roman" w:cs="Times New Roman"/>
          <w:noProof/>
          <w:sz w:val="24"/>
          <w:szCs w:val="24"/>
          <w:lang w:val="en-IE"/>
        </w:rPr>
        <w:t>.</w:t>
      </w:r>
      <w:r w:rsidR="007D33C0">
        <w:rPr>
          <w:rFonts w:ascii="Times New Roman" w:hAnsi="Times New Roman" w:cs="Times New Roman"/>
          <w:noProof/>
          <w:sz w:val="24"/>
          <w:szCs w:val="24"/>
          <w:lang w:val="en-IE"/>
        </w:rPr>
        <w:t xml:space="preserve"> </w:t>
      </w:r>
      <w:r w:rsidR="007D33C0" w:rsidRPr="007D33C0">
        <w:rPr>
          <w:rFonts w:ascii="Times New Roman" w:hAnsi="Times New Roman" w:cs="Times New Roman"/>
          <w:noProof/>
          <w:sz w:val="24"/>
          <w:szCs w:val="24"/>
          <w:lang w:val="en-US"/>
        </w:rPr>
        <w:t xml:space="preserve">Criminals take advantage of the fragmented overview </w:t>
      </w:r>
      <w:r w:rsidR="00A43C8E">
        <w:rPr>
          <w:rFonts w:ascii="Times New Roman" w:hAnsi="Times New Roman" w:cs="Times New Roman"/>
          <w:noProof/>
          <w:sz w:val="24"/>
          <w:szCs w:val="24"/>
          <w:lang w:val="en-US"/>
        </w:rPr>
        <w:t xml:space="preserve">authorities have </w:t>
      </w:r>
      <w:r w:rsidR="007D33C0" w:rsidRPr="007D33C0">
        <w:rPr>
          <w:rFonts w:ascii="Times New Roman" w:hAnsi="Times New Roman" w:cs="Times New Roman"/>
          <w:noProof/>
          <w:sz w:val="24"/>
          <w:szCs w:val="24"/>
          <w:lang w:val="en-US"/>
        </w:rPr>
        <w:t>of the financial flows to hide their money across entities and countries</w:t>
      </w:r>
      <w:r w:rsidR="00AC45E8">
        <w:rPr>
          <w:rFonts w:ascii="Times New Roman" w:eastAsia="Times New Roman" w:hAnsi="Times New Roman" w:cs="Times New Roman"/>
          <w:noProof/>
          <w:color w:val="000000" w:themeColor="text1"/>
          <w:sz w:val="24"/>
          <w:szCs w:val="24"/>
          <w:lang w:val="en-US"/>
        </w:rPr>
        <w:t>.</w:t>
      </w:r>
      <w:r w:rsidR="00AC45E8" w:rsidRPr="00D04262">
        <w:rPr>
          <w:rFonts w:ascii="Times New Roman" w:eastAsia="Times New Roman" w:hAnsi="Times New Roman" w:cs="Times New Roman"/>
          <w:noProof/>
          <w:color w:val="000000" w:themeColor="text1"/>
          <w:sz w:val="24"/>
          <w:szCs w:val="24"/>
          <w:lang w:val="en-US"/>
        </w:rPr>
        <w:t xml:space="preserve"> </w:t>
      </w:r>
      <w:r w:rsidR="00AC45E8">
        <w:rPr>
          <w:rFonts w:ascii="Times New Roman" w:eastAsia="Times New Roman" w:hAnsi="Times New Roman" w:cs="Times New Roman"/>
          <w:noProof/>
          <w:color w:val="000000" w:themeColor="text1"/>
          <w:sz w:val="24"/>
          <w:szCs w:val="24"/>
          <w:lang w:val="en-US"/>
        </w:rPr>
        <w:t>T</w:t>
      </w:r>
      <w:r w:rsidR="007D33C0" w:rsidRPr="00D04262">
        <w:rPr>
          <w:rFonts w:ascii="Times New Roman" w:eastAsia="Times New Roman" w:hAnsi="Times New Roman" w:cs="Times New Roman"/>
          <w:noProof/>
          <w:color w:val="000000" w:themeColor="text1"/>
          <w:sz w:val="24"/>
          <w:szCs w:val="24"/>
          <w:lang w:val="en-US"/>
        </w:rPr>
        <w:t>he only way of effectively addressing this challeng</w:t>
      </w:r>
      <w:r w:rsidR="00DA5AAA">
        <w:rPr>
          <w:rFonts w:ascii="Times New Roman" w:eastAsia="Times New Roman" w:hAnsi="Times New Roman" w:cs="Times New Roman"/>
          <w:noProof/>
          <w:color w:val="000000" w:themeColor="text1"/>
          <w:sz w:val="24"/>
          <w:szCs w:val="24"/>
          <w:lang w:val="en-US"/>
        </w:rPr>
        <w:t xml:space="preserve">e is </w:t>
      </w:r>
      <w:r w:rsidR="000A6CA3">
        <w:rPr>
          <w:rFonts w:ascii="Times New Roman" w:eastAsia="Times New Roman" w:hAnsi="Times New Roman" w:cs="Times New Roman"/>
          <w:noProof/>
          <w:color w:val="000000" w:themeColor="text1"/>
          <w:sz w:val="24"/>
          <w:szCs w:val="24"/>
          <w:lang w:val="en-US"/>
        </w:rPr>
        <w:t>through</w:t>
      </w:r>
      <w:r w:rsidR="00DA5AAA">
        <w:rPr>
          <w:rFonts w:ascii="Times New Roman" w:eastAsia="Times New Roman" w:hAnsi="Times New Roman" w:cs="Times New Roman"/>
          <w:noProof/>
          <w:color w:val="000000" w:themeColor="text1"/>
          <w:sz w:val="24"/>
          <w:szCs w:val="24"/>
          <w:lang w:val="en-US"/>
        </w:rPr>
        <w:t xml:space="preserve"> </w:t>
      </w:r>
      <w:r w:rsidR="005E362B">
        <w:rPr>
          <w:rFonts w:ascii="Times New Roman" w:eastAsia="Times New Roman" w:hAnsi="Times New Roman" w:cs="Times New Roman"/>
          <w:noProof/>
          <w:color w:val="000000" w:themeColor="text1"/>
          <w:sz w:val="24"/>
          <w:szCs w:val="24"/>
          <w:lang w:val="en-US"/>
        </w:rPr>
        <w:t>robust cross-border cooperation, which</w:t>
      </w:r>
      <w:r w:rsidR="00AC45E8">
        <w:rPr>
          <w:rFonts w:ascii="Times New Roman" w:eastAsia="Times New Roman" w:hAnsi="Times New Roman" w:cs="Times New Roman"/>
          <w:noProof/>
          <w:color w:val="000000" w:themeColor="text1"/>
          <w:sz w:val="24"/>
          <w:szCs w:val="24"/>
          <w:lang w:val="en-US"/>
        </w:rPr>
        <w:t>, in order to be effective,</w:t>
      </w:r>
      <w:r w:rsidR="007A7C11">
        <w:rPr>
          <w:rFonts w:ascii="Times New Roman" w:eastAsia="Times New Roman" w:hAnsi="Times New Roman" w:cs="Times New Roman"/>
          <w:noProof/>
          <w:color w:val="000000" w:themeColor="text1"/>
          <w:sz w:val="24"/>
          <w:szCs w:val="24"/>
          <w:lang w:val="en-US"/>
        </w:rPr>
        <w:t xml:space="preserve"> </w:t>
      </w:r>
      <w:r w:rsidR="00205DA3">
        <w:rPr>
          <w:rFonts w:ascii="Times New Roman" w:eastAsia="Times New Roman" w:hAnsi="Times New Roman" w:cs="Times New Roman"/>
          <w:noProof/>
          <w:color w:val="000000" w:themeColor="text1"/>
          <w:sz w:val="24"/>
          <w:szCs w:val="24"/>
          <w:lang w:val="en-US"/>
        </w:rPr>
        <w:t>requires a</w:t>
      </w:r>
      <w:r w:rsidR="003774D6">
        <w:rPr>
          <w:rFonts w:ascii="Times New Roman" w:eastAsia="Times New Roman" w:hAnsi="Times New Roman" w:cs="Times New Roman"/>
          <w:noProof/>
          <w:color w:val="000000" w:themeColor="text1"/>
          <w:sz w:val="24"/>
          <w:szCs w:val="24"/>
          <w:lang w:val="en-US"/>
        </w:rPr>
        <w:t xml:space="preserve"> more aligned penal framework against money laundering</w:t>
      </w:r>
      <w:r w:rsidR="00EB6686">
        <w:rPr>
          <w:rFonts w:ascii="Times New Roman" w:eastAsia="Times New Roman" w:hAnsi="Times New Roman" w:cs="Times New Roman"/>
          <w:noProof/>
          <w:color w:val="000000" w:themeColor="text1"/>
          <w:sz w:val="24"/>
          <w:szCs w:val="24"/>
          <w:lang w:val="en-US"/>
        </w:rPr>
        <w:t xml:space="preserve"> across Member States</w:t>
      </w:r>
      <w:r w:rsidR="003774D6">
        <w:rPr>
          <w:rFonts w:ascii="Times New Roman" w:eastAsia="Times New Roman" w:hAnsi="Times New Roman" w:cs="Times New Roman"/>
          <w:noProof/>
          <w:color w:val="000000" w:themeColor="text1"/>
          <w:sz w:val="24"/>
          <w:szCs w:val="24"/>
          <w:lang w:val="en-US"/>
        </w:rPr>
        <w:t>.</w:t>
      </w:r>
      <w:r w:rsidR="00A237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The analysis draws on desk research, surveys, expert consultations and interviews.</w:t>
      </w:r>
      <w:bookmarkEnd w:id="41"/>
    </w:p>
    <w:p w14:paraId="1A105CDB" w14:textId="13F82A12" w:rsidR="00412F5A" w:rsidRPr="00575CC5" w:rsidRDefault="00412F5A" w:rsidP="00412F5A">
      <w:pPr>
        <w:jc w:val="both"/>
        <w:rPr>
          <w:rFonts w:ascii="Times New Roman" w:hAnsi="Times New Roman" w:cs="Times New Roman"/>
          <w:noProof/>
          <w:sz w:val="24"/>
          <w:szCs w:val="24"/>
          <w:lang w:val="en-IE"/>
        </w:rPr>
      </w:pPr>
      <w:bookmarkStart w:id="42" w:name="_Toc213782306"/>
      <w:r w:rsidRPr="00575CC5">
        <w:rPr>
          <w:rFonts w:ascii="Times New Roman" w:hAnsi="Times New Roman" w:cs="Times New Roman"/>
          <w:noProof/>
          <w:sz w:val="24"/>
          <w:szCs w:val="24"/>
          <w:lang w:val="en-IE"/>
        </w:rPr>
        <w:t>Stakeholders broadly agreed that the Directive created significant EU added value by establishing a level playing field and harmonising money laundering offences and penalties across Member States</w:t>
      </w:r>
      <w:r w:rsidRPr="00575CC5">
        <w:rPr>
          <w:rFonts w:ascii="Times New Roman" w:hAnsi="Times New Roman" w:cs="Times New Roman"/>
          <w:noProof/>
          <w:sz w:val="24"/>
          <w:szCs w:val="24"/>
          <w:vertAlign w:val="superscript"/>
        </w:rPr>
        <w:footnoteReference w:id="66"/>
      </w:r>
      <w:r w:rsidRPr="00575CC5">
        <w:rPr>
          <w:rFonts w:ascii="Times New Roman" w:hAnsi="Times New Roman" w:cs="Times New Roman"/>
          <w:noProof/>
          <w:sz w:val="24"/>
          <w:szCs w:val="24"/>
          <w:lang w:val="en-IE"/>
        </w:rPr>
        <w:t>. This common framework was seen as particularly beneficial for cross-border investigations and international police cooperation</w:t>
      </w:r>
      <w:bookmarkEnd w:id="42"/>
      <w:r w:rsidRPr="00575CC5">
        <w:rPr>
          <w:rFonts w:ascii="Times New Roman" w:hAnsi="Times New Roman" w:cs="Times New Roman"/>
          <w:noProof/>
          <w:sz w:val="24"/>
          <w:szCs w:val="24"/>
          <w:lang w:val="en-IE"/>
        </w:rPr>
        <w:t>.</w:t>
      </w:r>
    </w:p>
    <w:p w14:paraId="00C70E43" w14:textId="27D70766" w:rsidR="00412F5A" w:rsidRPr="00575CC5" w:rsidRDefault="00412F5A" w:rsidP="00412F5A">
      <w:pPr>
        <w:jc w:val="both"/>
        <w:rPr>
          <w:rFonts w:ascii="Times New Roman" w:hAnsi="Times New Roman" w:cs="Times New Roman"/>
          <w:noProof/>
          <w:sz w:val="24"/>
          <w:szCs w:val="24"/>
          <w:lang w:val="en-IE"/>
        </w:rPr>
      </w:pPr>
      <w:bookmarkStart w:id="43" w:name="_Toc213782307"/>
      <w:r w:rsidRPr="00575CC5">
        <w:rPr>
          <w:rFonts w:ascii="Times New Roman" w:hAnsi="Times New Roman" w:cs="Times New Roman"/>
          <w:noProof/>
          <w:sz w:val="24"/>
          <w:szCs w:val="24"/>
          <w:lang w:val="en-IE"/>
        </w:rPr>
        <w:t xml:space="preserve">However, the Directive’s added value is limited in some other respects. In </w:t>
      </w:r>
      <w:r w:rsidR="00DC3760" w:rsidRPr="00575CC5">
        <w:rPr>
          <w:rFonts w:ascii="Times New Roman" w:hAnsi="Times New Roman" w:cs="Times New Roman"/>
          <w:noProof/>
          <w:sz w:val="24"/>
          <w:szCs w:val="24"/>
          <w:lang w:val="en-IE"/>
        </w:rPr>
        <w:t xml:space="preserve">approximately </w:t>
      </w:r>
      <w:r w:rsidR="00AC45E8">
        <w:rPr>
          <w:rFonts w:ascii="Times New Roman" w:hAnsi="Times New Roman" w:cs="Times New Roman"/>
          <w:noProof/>
          <w:sz w:val="24"/>
          <w:szCs w:val="24"/>
          <w:lang w:val="en-IE"/>
        </w:rPr>
        <w:t>10</w:t>
      </w:r>
      <w:r w:rsidR="00AC45E8"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Member States, key provisions were already part of national law, meaning the Directive brought only marginal change for </w:t>
      </w:r>
      <w:r w:rsidR="00DC3760" w:rsidRPr="00575CC5">
        <w:rPr>
          <w:rFonts w:ascii="Times New Roman" w:hAnsi="Times New Roman" w:cs="Times New Roman"/>
          <w:noProof/>
          <w:sz w:val="24"/>
          <w:szCs w:val="24"/>
          <w:lang w:val="en-IE"/>
        </w:rPr>
        <w:t>those</w:t>
      </w:r>
      <w:r w:rsidRPr="00575CC5">
        <w:rPr>
          <w:rFonts w:ascii="Times New Roman" w:hAnsi="Times New Roman" w:cs="Times New Roman"/>
          <w:noProof/>
          <w:sz w:val="24"/>
          <w:szCs w:val="24"/>
          <w:lang w:val="en-IE"/>
        </w:rPr>
        <w:t xml:space="preserve"> countries</w:t>
      </w:r>
      <w:r w:rsidR="00A43C8E">
        <w:rPr>
          <w:rFonts w:ascii="Times New Roman" w:hAnsi="Times New Roman" w:cs="Times New Roman"/>
          <w:noProof/>
          <w:sz w:val="24"/>
          <w:szCs w:val="24"/>
          <w:lang w:val="en-IE"/>
        </w:rPr>
        <w:t xml:space="preserve"> internally</w:t>
      </w:r>
      <w:r w:rsidRPr="00575CC5">
        <w:rPr>
          <w:rFonts w:ascii="Times New Roman" w:hAnsi="Times New Roman" w:cs="Times New Roman"/>
          <w:noProof/>
          <w:sz w:val="24"/>
          <w:szCs w:val="24"/>
          <w:vertAlign w:val="superscript"/>
        </w:rPr>
        <w:footnoteReference w:id="67"/>
      </w:r>
      <w:r w:rsidRPr="00575CC5">
        <w:rPr>
          <w:rFonts w:ascii="Times New Roman" w:hAnsi="Times New Roman" w:cs="Times New Roman"/>
          <w:noProof/>
          <w:sz w:val="24"/>
          <w:szCs w:val="24"/>
          <w:lang w:val="en-IE"/>
        </w:rPr>
        <w:t xml:space="preserve">. However, </w:t>
      </w:r>
      <w:r w:rsidR="00DC3760" w:rsidRPr="00575CC5">
        <w:rPr>
          <w:rFonts w:ascii="Times New Roman" w:hAnsi="Times New Roman" w:cs="Times New Roman"/>
          <w:noProof/>
          <w:sz w:val="24"/>
          <w:szCs w:val="24"/>
          <w:lang w:val="en-IE"/>
        </w:rPr>
        <w:t>those</w:t>
      </w:r>
      <w:r w:rsidR="00D834B9" w:rsidRPr="00575CC5">
        <w:rPr>
          <w:rFonts w:ascii="Times New Roman" w:hAnsi="Times New Roman" w:cs="Times New Roman"/>
          <w:noProof/>
          <w:sz w:val="24"/>
          <w:szCs w:val="24"/>
          <w:lang w:val="en-IE"/>
        </w:rPr>
        <w:t xml:space="preserve"> Member States </w:t>
      </w:r>
      <w:r w:rsidR="003C1FFF">
        <w:rPr>
          <w:rFonts w:ascii="Times New Roman" w:hAnsi="Times New Roman" w:cs="Times New Roman"/>
          <w:noProof/>
          <w:sz w:val="24"/>
          <w:szCs w:val="24"/>
          <w:lang w:val="en-IE"/>
        </w:rPr>
        <w:t xml:space="preserve">also </w:t>
      </w:r>
      <w:r w:rsidR="00D834B9" w:rsidRPr="00575CC5">
        <w:rPr>
          <w:rFonts w:ascii="Times New Roman" w:hAnsi="Times New Roman" w:cs="Times New Roman"/>
          <w:noProof/>
          <w:sz w:val="24"/>
          <w:szCs w:val="24"/>
          <w:lang w:val="en-IE"/>
        </w:rPr>
        <w:t xml:space="preserve">benefited from </w:t>
      </w:r>
      <w:r w:rsidRPr="00575CC5">
        <w:rPr>
          <w:rFonts w:ascii="Times New Roman" w:hAnsi="Times New Roman" w:cs="Times New Roman"/>
          <w:noProof/>
          <w:sz w:val="24"/>
          <w:szCs w:val="24"/>
          <w:lang w:val="en-IE"/>
        </w:rPr>
        <w:t xml:space="preserve">smoother </w:t>
      </w:r>
      <w:r w:rsidR="00A43C8E">
        <w:rPr>
          <w:rFonts w:ascii="Times New Roman" w:hAnsi="Times New Roman" w:cs="Times New Roman"/>
          <w:noProof/>
          <w:sz w:val="24"/>
          <w:szCs w:val="24"/>
          <w:lang w:val="en-IE"/>
        </w:rPr>
        <w:t xml:space="preserve">cross-border </w:t>
      </w:r>
      <w:r w:rsidRPr="00575CC5">
        <w:rPr>
          <w:rFonts w:ascii="Times New Roman" w:hAnsi="Times New Roman" w:cs="Times New Roman"/>
          <w:noProof/>
          <w:sz w:val="24"/>
          <w:szCs w:val="24"/>
          <w:lang w:val="en-IE"/>
        </w:rPr>
        <w:t xml:space="preserve">cooperation </w:t>
      </w:r>
      <w:r w:rsidR="00A43C8E">
        <w:rPr>
          <w:rFonts w:ascii="Times New Roman" w:hAnsi="Times New Roman" w:cs="Times New Roman"/>
          <w:noProof/>
          <w:sz w:val="24"/>
          <w:szCs w:val="24"/>
          <w:lang w:val="en-IE"/>
        </w:rPr>
        <w:t>thanks to</w:t>
      </w:r>
      <w:r w:rsidR="00A43C8E"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the approximation of other Member States</w:t>
      </w:r>
      <w:r w:rsidR="00A43C8E">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legislation</w:t>
      </w:r>
      <w:r w:rsidR="0002737D" w:rsidRPr="00575CC5">
        <w:rPr>
          <w:rFonts w:ascii="Times New Roman" w:hAnsi="Times New Roman" w:cs="Times New Roman"/>
          <w:noProof/>
          <w:sz w:val="24"/>
          <w:szCs w:val="24"/>
          <w:lang w:val="en-IE"/>
        </w:rPr>
        <w:t>.</w:t>
      </w:r>
      <w:bookmarkEnd w:id="43"/>
    </w:p>
    <w:p w14:paraId="6F7AC580" w14:textId="09A4F90B" w:rsidR="00412F5A" w:rsidRPr="00575CC5" w:rsidRDefault="00412F5A" w:rsidP="00412F5A">
      <w:pPr>
        <w:jc w:val="both"/>
        <w:rPr>
          <w:rFonts w:ascii="Times New Roman" w:hAnsi="Times New Roman" w:cs="Times New Roman"/>
          <w:noProof/>
          <w:sz w:val="24"/>
          <w:szCs w:val="24"/>
          <w:lang w:val="en-IE"/>
        </w:rPr>
      </w:pPr>
      <w:bookmarkStart w:id="44" w:name="_Toc213782308"/>
      <w:r w:rsidRPr="00575CC5">
        <w:rPr>
          <w:rFonts w:ascii="Times New Roman" w:hAnsi="Times New Roman" w:cs="Times New Roman"/>
          <w:noProof/>
          <w:sz w:val="24"/>
          <w:szCs w:val="24"/>
          <w:lang w:val="en-IE"/>
        </w:rPr>
        <w:t>Optional provisions (</w:t>
      </w:r>
      <w:r w:rsidR="00F86B46">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may clauses</w:t>
      </w:r>
      <w:r w:rsidR="00F86B46">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were transposed in several countries, but not uniformly. Moreover, some stakeholders stressed that minimum EU rules do not go far enough to eliminate </w:t>
      </w:r>
      <w:r w:rsidR="004B4AA5">
        <w:rPr>
          <w:rFonts w:ascii="Times New Roman" w:hAnsi="Times New Roman" w:cs="Times New Roman"/>
          <w:noProof/>
          <w:sz w:val="24"/>
          <w:szCs w:val="24"/>
          <w:lang w:val="en-IE"/>
        </w:rPr>
        <w:t>differences</w:t>
      </w:r>
      <w:r w:rsidR="004B4AA5"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on issues such as negligence, self-laundering, stand-alone money laundering, or liability of legal persons</w:t>
      </w:r>
      <w:r w:rsidRPr="00575CC5">
        <w:rPr>
          <w:rFonts w:ascii="Times New Roman" w:hAnsi="Times New Roman" w:cs="Times New Roman"/>
          <w:noProof/>
          <w:sz w:val="24"/>
          <w:szCs w:val="24"/>
          <w:vertAlign w:val="superscript"/>
        </w:rPr>
        <w:footnoteReference w:id="68"/>
      </w:r>
      <w:r w:rsidRPr="00575CC5">
        <w:rPr>
          <w:rFonts w:ascii="Times New Roman" w:hAnsi="Times New Roman" w:cs="Times New Roman"/>
          <w:noProof/>
          <w:sz w:val="24"/>
          <w:szCs w:val="24"/>
          <w:lang w:val="en-IE"/>
        </w:rPr>
        <w:t>. As a result, full harmonisation has not yet been achieved</w:t>
      </w:r>
      <w:bookmarkEnd w:id="44"/>
      <w:r w:rsidR="00A43C8E">
        <w:rPr>
          <w:rFonts w:ascii="Times New Roman" w:hAnsi="Times New Roman" w:cs="Times New Roman"/>
          <w:noProof/>
          <w:sz w:val="24"/>
          <w:szCs w:val="24"/>
          <w:lang w:val="en-IE"/>
        </w:rPr>
        <w:t xml:space="preserve"> causing some missed opportunities as outlined in the effectiveness section</w:t>
      </w:r>
      <w:r w:rsidRPr="00575CC5">
        <w:rPr>
          <w:rFonts w:ascii="Times New Roman" w:hAnsi="Times New Roman" w:cs="Times New Roman"/>
          <w:noProof/>
          <w:sz w:val="24"/>
          <w:szCs w:val="24"/>
          <w:lang w:val="en-IE"/>
        </w:rPr>
        <w:t>.</w:t>
      </w:r>
    </w:p>
    <w:p w14:paraId="630C3378" w14:textId="175D887B" w:rsidR="00412F5A" w:rsidRPr="00575CC5" w:rsidRDefault="00412F5A" w:rsidP="00412F5A">
      <w:pPr>
        <w:jc w:val="both"/>
        <w:rPr>
          <w:rFonts w:ascii="Times New Roman" w:hAnsi="Times New Roman" w:cs="Times New Roman"/>
          <w:noProof/>
          <w:sz w:val="24"/>
          <w:szCs w:val="24"/>
          <w:lang w:val="en-IE"/>
        </w:rPr>
      </w:pPr>
      <w:bookmarkStart w:id="45" w:name="_Toc213782310"/>
      <w:r w:rsidRPr="00575CC5">
        <w:rPr>
          <w:rFonts w:ascii="Times New Roman" w:hAnsi="Times New Roman" w:cs="Times New Roman"/>
          <w:noProof/>
          <w:sz w:val="24"/>
          <w:szCs w:val="24"/>
          <w:lang w:val="en-IE"/>
        </w:rPr>
        <w:t xml:space="preserve">Overall, the Directive is assessed as having high EU added value, </w:t>
      </w:r>
      <w:r w:rsidR="005B5062" w:rsidRPr="00575CC5">
        <w:rPr>
          <w:rFonts w:ascii="Times New Roman" w:hAnsi="Times New Roman" w:cs="Times New Roman"/>
          <w:noProof/>
          <w:sz w:val="24"/>
          <w:szCs w:val="24"/>
          <w:lang w:val="en-IE"/>
        </w:rPr>
        <w:t xml:space="preserve">providing </w:t>
      </w:r>
      <w:r w:rsidRPr="00575CC5">
        <w:rPr>
          <w:rFonts w:ascii="Times New Roman" w:hAnsi="Times New Roman" w:cs="Times New Roman"/>
          <w:noProof/>
          <w:sz w:val="24"/>
          <w:szCs w:val="24"/>
          <w:lang w:val="en-IE"/>
        </w:rPr>
        <w:t xml:space="preserve">common </w:t>
      </w:r>
      <w:r w:rsidR="005333EB" w:rsidRPr="00A908E5">
        <w:rPr>
          <w:rFonts w:ascii="Times New Roman" w:hAnsi="Times New Roman" w:cs="Times New Roman"/>
          <w:noProof/>
          <w:sz w:val="24"/>
          <w:szCs w:val="24"/>
        </w:rPr>
        <w:t xml:space="preserve">definitions </w:t>
      </w:r>
      <w:r w:rsidR="005333EB" w:rsidRPr="009B4219">
        <w:rPr>
          <w:rFonts w:ascii="Times New Roman" w:hAnsi="Times New Roman" w:cs="Times New Roman"/>
          <w:noProof/>
          <w:sz w:val="24"/>
          <w:szCs w:val="24"/>
        </w:rPr>
        <w:t>–</w:t>
      </w:r>
      <w:r w:rsidR="005333EB" w:rsidRPr="009B4219" w:rsidDel="009B4219">
        <w:rPr>
          <w:rFonts w:ascii="Times New Roman" w:hAnsi="Times New Roman" w:cs="Times New Roman"/>
          <w:noProof/>
          <w:sz w:val="24"/>
          <w:szCs w:val="24"/>
        </w:rPr>
        <w:t xml:space="preserve"> </w:t>
      </w:r>
      <w:r w:rsidR="005333EB" w:rsidRPr="00A908E5">
        <w:rPr>
          <w:rFonts w:ascii="Times New Roman" w:hAnsi="Times New Roman" w:cs="Times New Roman"/>
          <w:noProof/>
          <w:sz w:val="24"/>
          <w:szCs w:val="24"/>
        </w:rPr>
        <w:t xml:space="preserve">especially </w:t>
      </w:r>
      <w:r w:rsidR="005333EB">
        <w:rPr>
          <w:rFonts w:ascii="Times New Roman" w:hAnsi="Times New Roman" w:cs="Times New Roman"/>
          <w:noProof/>
          <w:sz w:val="24"/>
          <w:szCs w:val="24"/>
        </w:rPr>
        <w:t>for</w:t>
      </w:r>
      <w:r w:rsidR="005333EB" w:rsidRPr="00A908E5">
        <w:rPr>
          <w:rFonts w:ascii="Times New Roman" w:hAnsi="Times New Roman" w:cs="Times New Roman"/>
          <w:noProof/>
          <w:sz w:val="24"/>
          <w:szCs w:val="24"/>
        </w:rPr>
        <w:t xml:space="preserve"> self-laundering and stand-alone money laundering </w:t>
      </w:r>
      <w:r w:rsidR="005333EB" w:rsidRPr="009B4219">
        <w:rPr>
          <w:rFonts w:ascii="Times New Roman" w:hAnsi="Times New Roman" w:cs="Times New Roman"/>
          <w:noProof/>
          <w:sz w:val="24"/>
          <w:szCs w:val="24"/>
        </w:rPr>
        <w:t>–</w:t>
      </w:r>
      <w:r w:rsidR="005333EB" w:rsidRPr="009B4219" w:rsidDel="009B4219">
        <w:rPr>
          <w:rFonts w:ascii="Times New Roman" w:hAnsi="Times New Roman" w:cs="Times New Roman"/>
          <w:noProof/>
          <w:sz w:val="24"/>
          <w:szCs w:val="24"/>
        </w:rPr>
        <w:t xml:space="preserve"> </w:t>
      </w:r>
      <w:r w:rsidR="005333EB" w:rsidRPr="00A908E5">
        <w:rPr>
          <w:rFonts w:ascii="Times New Roman" w:hAnsi="Times New Roman" w:cs="Times New Roman"/>
          <w:noProof/>
          <w:sz w:val="24"/>
          <w:szCs w:val="24"/>
        </w:rPr>
        <w:t xml:space="preserve">and </w:t>
      </w:r>
      <w:r w:rsidR="00FF5AD5" w:rsidRPr="00575CC5">
        <w:rPr>
          <w:rFonts w:ascii="Times New Roman" w:hAnsi="Times New Roman" w:cs="Times New Roman"/>
          <w:noProof/>
          <w:sz w:val="24"/>
          <w:szCs w:val="24"/>
          <w:lang w:val="en-IE"/>
        </w:rPr>
        <w:t>closer</w:t>
      </w:r>
      <w:r w:rsidRPr="00575CC5">
        <w:rPr>
          <w:rFonts w:ascii="Times New Roman" w:hAnsi="Times New Roman" w:cs="Times New Roman"/>
          <w:noProof/>
          <w:sz w:val="24"/>
          <w:szCs w:val="24"/>
          <w:lang w:val="en-IE"/>
        </w:rPr>
        <w:t xml:space="preserve"> sanctions</w:t>
      </w:r>
      <w:r w:rsidR="000F69C3">
        <w:rPr>
          <w:rFonts w:ascii="Times New Roman" w:hAnsi="Times New Roman" w:cs="Times New Roman"/>
          <w:noProof/>
          <w:sz w:val="24"/>
          <w:szCs w:val="24"/>
          <w:lang w:val="en-IE"/>
        </w:rPr>
        <w:t xml:space="preserve"> amongst Members States. This </w:t>
      </w:r>
      <w:r w:rsidR="001322BE">
        <w:rPr>
          <w:rFonts w:ascii="Times New Roman" w:hAnsi="Times New Roman" w:cs="Times New Roman"/>
          <w:noProof/>
          <w:sz w:val="24"/>
          <w:szCs w:val="24"/>
          <w:lang w:val="en-IE"/>
        </w:rPr>
        <w:t>facilitat</w:t>
      </w:r>
      <w:r w:rsidR="000F69C3">
        <w:rPr>
          <w:rFonts w:ascii="Times New Roman" w:hAnsi="Times New Roman" w:cs="Times New Roman"/>
          <w:noProof/>
          <w:sz w:val="24"/>
          <w:szCs w:val="24"/>
          <w:lang w:val="en-IE"/>
        </w:rPr>
        <w:t xml:space="preserve">es </w:t>
      </w:r>
      <w:r w:rsidRPr="00575CC5">
        <w:rPr>
          <w:rFonts w:ascii="Times New Roman" w:hAnsi="Times New Roman" w:cs="Times New Roman"/>
          <w:noProof/>
          <w:sz w:val="24"/>
          <w:szCs w:val="24"/>
          <w:lang w:val="en-IE"/>
        </w:rPr>
        <w:t>a smoother cooperation to combat money laundering</w:t>
      </w:r>
      <w:r w:rsidR="001322BE">
        <w:rPr>
          <w:rFonts w:ascii="Times New Roman" w:hAnsi="Times New Roman" w:cs="Times New Roman"/>
          <w:noProof/>
          <w:sz w:val="24"/>
          <w:szCs w:val="24"/>
          <w:lang w:val="en-IE"/>
        </w:rPr>
        <w:t xml:space="preserve"> across borders</w:t>
      </w:r>
      <w:r w:rsidRPr="00575CC5">
        <w:rPr>
          <w:rFonts w:ascii="Times New Roman" w:hAnsi="Times New Roman" w:cs="Times New Roman"/>
          <w:noProof/>
          <w:sz w:val="24"/>
          <w:szCs w:val="24"/>
          <w:lang w:val="en-IE"/>
        </w:rPr>
        <w:t>,</w:t>
      </w:r>
      <w:r w:rsidR="001322BE">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which could not have been achieved by Member States acting alone.</w:t>
      </w:r>
      <w:bookmarkEnd w:id="45"/>
      <w:r w:rsidRPr="00575CC5">
        <w:rPr>
          <w:rFonts w:ascii="Times New Roman" w:hAnsi="Times New Roman" w:cs="Times New Roman"/>
          <w:noProof/>
          <w:sz w:val="24"/>
          <w:szCs w:val="24"/>
          <w:lang w:val="en-IE"/>
        </w:rPr>
        <w:t xml:space="preserve"> </w:t>
      </w:r>
    </w:p>
    <w:p w14:paraId="1CCD7127" w14:textId="2AC6757A" w:rsidR="00412F5A" w:rsidRDefault="00412F5A" w:rsidP="00412F5A">
      <w:pPr>
        <w:pStyle w:val="Heading3"/>
        <w:rPr>
          <w:rFonts w:ascii="Times New Roman" w:hAnsi="Times New Roman" w:cs="Times New Roman"/>
          <w:b/>
          <w:bCs/>
          <w:noProof/>
          <w:color w:val="000000" w:themeColor="text1"/>
          <w:lang w:val="en-IE"/>
        </w:rPr>
      </w:pPr>
      <w:bookmarkStart w:id="46" w:name="_Toc223439257"/>
      <w:r w:rsidRPr="00575CC5">
        <w:rPr>
          <w:rFonts w:ascii="Times New Roman" w:hAnsi="Times New Roman" w:cs="Times New Roman"/>
          <w:b/>
          <w:bCs/>
          <w:noProof/>
          <w:color w:val="000000" w:themeColor="text1"/>
          <w:lang w:val="en-IE"/>
        </w:rPr>
        <w:t>4.2.2. Fundamental rights and freedoms</w:t>
      </w:r>
      <w:bookmarkEnd w:id="46"/>
    </w:p>
    <w:p w14:paraId="09962057" w14:textId="77777777" w:rsidR="00846CE0" w:rsidRDefault="00846CE0" w:rsidP="00846CE0">
      <w:pPr>
        <w:rPr>
          <w:noProof/>
          <w:lang w:val="en-IE"/>
        </w:rPr>
      </w:pPr>
    </w:p>
    <w:tbl>
      <w:tblPr>
        <w:tblStyle w:val="TableGrid"/>
        <w:tblW w:w="0" w:type="auto"/>
        <w:tblLook w:val="04A0" w:firstRow="1" w:lastRow="0" w:firstColumn="1" w:lastColumn="0" w:noHBand="0" w:noVBand="1"/>
      </w:tblPr>
      <w:tblGrid>
        <w:gridCol w:w="8861"/>
      </w:tblGrid>
      <w:tr w:rsidR="00846CE0" w:rsidRPr="008C79A2" w14:paraId="4E22765A" w14:textId="77777777">
        <w:tc>
          <w:tcPr>
            <w:tcW w:w="8861" w:type="dxa"/>
          </w:tcPr>
          <w:p w14:paraId="4462002B" w14:textId="77777777" w:rsidR="00846CE0" w:rsidRPr="00846CE0" w:rsidRDefault="00846CE0">
            <w:pPr>
              <w:rPr>
                <w:b/>
                <w:bCs/>
                <w:noProof/>
                <w:color w:val="000000" w:themeColor="text1"/>
                <w:lang w:val="en-IE"/>
              </w:rPr>
            </w:pPr>
            <w:r w:rsidRPr="00846CE0">
              <w:rPr>
                <w:b/>
                <w:bCs/>
                <w:noProof/>
                <w:color w:val="000000" w:themeColor="text1"/>
                <w:lang w:val="en-IE"/>
              </w:rPr>
              <w:t>Main findings:</w:t>
            </w:r>
          </w:p>
          <w:p w14:paraId="54608F0E" w14:textId="77777777" w:rsidR="00846CE0" w:rsidRPr="00F02686" w:rsidRDefault="00846CE0">
            <w:pPr>
              <w:pStyle w:val="ListParagraph"/>
              <w:numPr>
                <w:ilvl w:val="0"/>
                <w:numId w:val="58"/>
              </w:numPr>
              <w:spacing w:after="0"/>
              <w:rPr>
                <w:b/>
                <w:bCs/>
                <w:noProof/>
                <w:color w:val="000000" w:themeColor="text1"/>
                <w:sz w:val="20"/>
                <w:lang w:val="en-IE"/>
              </w:rPr>
            </w:pPr>
            <w:r w:rsidRPr="00F02686">
              <w:rPr>
                <w:noProof/>
                <w:sz w:val="20"/>
                <w:lang w:val="en-IE"/>
              </w:rPr>
              <w:t>Member State authorities and EU/international bodies generally consider the Directive to be in line with fundamental rights standards.</w:t>
            </w:r>
          </w:p>
          <w:p w14:paraId="572F56D1" w14:textId="389F50F1" w:rsidR="00846CE0" w:rsidRPr="008C79A2" w:rsidRDefault="00846CE0">
            <w:pPr>
              <w:pStyle w:val="ListParagraph"/>
              <w:numPr>
                <w:ilvl w:val="0"/>
                <w:numId w:val="58"/>
              </w:numPr>
              <w:spacing w:after="0"/>
              <w:rPr>
                <w:b/>
                <w:bCs/>
                <w:noProof/>
                <w:color w:val="000000" w:themeColor="text1"/>
                <w:sz w:val="20"/>
                <w:lang w:val="en-IE"/>
              </w:rPr>
            </w:pPr>
            <w:r w:rsidRPr="00F02686">
              <w:rPr>
                <w:noProof/>
                <w:sz w:val="20"/>
                <w:lang w:val="en-IE"/>
              </w:rPr>
              <w:t>NGOs and academics have voiced some concerns, particularly with regard to the vagueness of the definition of “criminal activity” (principle of legality), the stand-alone money laundering offence (presumption of innocence) and the self-laundering offences (</w:t>
            </w:r>
            <w:r w:rsidRPr="00F02686">
              <w:rPr>
                <w:i/>
                <w:iCs/>
                <w:noProof/>
                <w:sz w:val="20"/>
                <w:lang w:val="en-IE"/>
              </w:rPr>
              <w:t>ne bis in idem</w:t>
            </w:r>
            <w:r w:rsidRPr="00F02686">
              <w:rPr>
                <w:noProof/>
                <w:sz w:val="20"/>
                <w:lang w:val="en-IE"/>
              </w:rPr>
              <w:t xml:space="preserve"> principle).</w:t>
            </w:r>
          </w:p>
        </w:tc>
      </w:tr>
    </w:tbl>
    <w:p w14:paraId="023F5554" w14:textId="77777777" w:rsidR="00846CE0" w:rsidRPr="00F02686" w:rsidRDefault="00846CE0" w:rsidP="00F02686">
      <w:pPr>
        <w:rPr>
          <w:noProof/>
          <w:lang w:val="en-IE"/>
        </w:rPr>
      </w:pPr>
    </w:p>
    <w:p w14:paraId="190043BC" w14:textId="68241EFB" w:rsidR="00467884" w:rsidRDefault="00412F5A" w:rsidP="00EE698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In line</w:t>
      </w:r>
      <w:r w:rsidR="00813410">
        <w:rPr>
          <w:rFonts w:ascii="Times New Roman" w:hAnsi="Times New Roman" w:cs="Times New Roman"/>
          <w:noProof/>
          <w:sz w:val="24"/>
          <w:szCs w:val="24"/>
          <w:lang w:val="en-IE"/>
        </w:rPr>
        <w:t xml:space="preserve"> with </w:t>
      </w:r>
      <w:r w:rsidR="00813410" w:rsidRPr="00575CC5">
        <w:rPr>
          <w:rFonts w:ascii="Times New Roman" w:hAnsi="Times New Roman" w:cs="Times New Roman"/>
          <w:noProof/>
          <w:sz w:val="24"/>
          <w:szCs w:val="24"/>
          <w:lang w:val="en-IE"/>
        </w:rPr>
        <w:t>Article 14(2) of Directive (EU) 2018/1673</w:t>
      </w:r>
      <w:r w:rsidRPr="00575CC5">
        <w:rPr>
          <w:rFonts w:ascii="Times New Roman" w:hAnsi="Times New Roman" w:cs="Times New Roman"/>
          <w:noProof/>
          <w:sz w:val="24"/>
          <w:szCs w:val="24"/>
          <w:lang w:val="en-IE"/>
        </w:rPr>
        <w:t>, th</w:t>
      </w:r>
      <w:r w:rsidR="00FF5AD5" w:rsidRPr="00575CC5">
        <w:rPr>
          <w:rFonts w:ascii="Times New Roman" w:hAnsi="Times New Roman" w:cs="Times New Roman"/>
          <w:noProof/>
          <w:sz w:val="24"/>
          <w:szCs w:val="24"/>
          <w:lang w:val="en-IE"/>
        </w:rPr>
        <w:t xml:space="preserve">e evaluation </w:t>
      </w:r>
      <w:r w:rsidRPr="00575CC5">
        <w:rPr>
          <w:rFonts w:ascii="Times New Roman" w:hAnsi="Times New Roman" w:cs="Times New Roman"/>
          <w:noProof/>
          <w:sz w:val="24"/>
          <w:szCs w:val="24"/>
          <w:lang w:val="en-IE"/>
        </w:rPr>
        <w:t>also considers the impact of the Directive on fundamental rights</w:t>
      </w:r>
      <w:r w:rsidR="00813410">
        <w:rPr>
          <w:rFonts w:ascii="Times New Roman" w:hAnsi="Times New Roman" w:cs="Times New Roman"/>
          <w:noProof/>
          <w:sz w:val="24"/>
          <w:szCs w:val="24"/>
          <w:lang w:val="en-IE"/>
        </w:rPr>
        <w:t xml:space="preserve"> following the Better Regulati</w:t>
      </w:r>
      <w:r w:rsidR="000947C9">
        <w:rPr>
          <w:rFonts w:ascii="Times New Roman" w:hAnsi="Times New Roman" w:cs="Times New Roman"/>
          <w:noProof/>
          <w:sz w:val="24"/>
          <w:szCs w:val="24"/>
          <w:lang w:val="en-IE"/>
        </w:rPr>
        <w:t>on Guidelines on this aspect</w:t>
      </w:r>
      <w:r w:rsidRPr="00575CC5">
        <w:rPr>
          <w:rFonts w:ascii="Times New Roman" w:hAnsi="Times New Roman" w:cs="Times New Roman"/>
          <w:noProof/>
          <w:sz w:val="24"/>
          <w:szCs w:val="24"/>
          <w:lang w:val="en-IE"/>
        </w:rPr>
        <w:t xml:space="preserve">. </w:t>
      </w:r>
      <w:r w:rsidR="008C7195" w:rsidRPr="00575CC5">
        <w:rPr>
          <w:rFonts w:ascii="Times New Roman" w:hAnsi="Times New Roman" w:cs="Times New Roman"/>
          <w:noProof/>
          <w:sz w:val="24"/>
          <w:szCs w:val="24"/>
          <w:lang w:val="en-IE"/>
        </w:rPr>
        <w:t>Feedback diverges considerably depending on the stakeholder group. NGOs and academics have voiced concerns</w:t>
      </w:r>
      <w:r w:rsidR="00944987">
        <w:rPr>
          <w:rFonts w:ascii="Times New Roman" w:hAnsi="Times New Roman" w:cs="Times New Roman"/>
          <w:noProof/>
          <w:sz w:val="24"/>
          <w:szCs w:val="24"/>
          <w:lang w:val="en-IE"/>
        </w:rPr>
        <w:t>,</w:t>
      </w:r>
      <w:r w:rsidR="00EE6985">
        <w:rPr>
          <w:rFonts w:ascii="Times New Roman" w:hAnsi="Times New Roman" w:cs="Times New Roman"/>
          <w:noProof/>
          <w:sz w:val="24"/>
          <w:szCs w:val="24"/>
          <w:lang w:val="en-IE"/>
        </w:rPr>
        <w:t xml:space="preserve"> notably regarding the stand-alone money laundering offence and the self-laundering offence </w:t>
      </w:r>
      <w:r w:rsidR="00EE6985" w:rsidRPr="00C43D71">
        <w:rPr>
          <w:rFonts w:ascii="Times New Roman" w:hAnsi="Times New Roman" w:cs="Times New Roman"/>
          <w:noProof/>
          <w:sz w:val="24"/>
          <w:szCs w:val="24"/>
          <w:lang w:val="en-IE"/>
        </w:rPr>
        <w:t xml:space="preserve">with regards to their possible impact on </w:t>
      </w:r>
      <w:r w:rsidR="008C7195" w:rsidRPr="00575CC5">
        <w:rPr>
          <w:rFonts w:ascii="Times New Roman" w:hAnsi="Times New Roman" w:cs="Times New Roman"/>
          <w:noProof/>
          <w:sz w:val="24"/>
          <w:szCs w:val="24"/>
          <w:lang w:val="en-IE"/>
        </w:rPr>
        <w:t>the presumption of innocence, access to legal representation, privacy and the proportionality of penalties</w:t>
      </w:r>
      <w:r w:rsidR="00EE6985">
        <w:rPr>
          <w:rFonts w:ascii="Times New Roman" w:hAnsi="Times New Roman" w:cs="Times New Roman"/>
          <w:noProof/>
          <w:sz w:val="24"/>
          <w:szCs w:val="24"/>
          <w:lang w:val="en-IE"/>
        </w:rPr>
        <w:t>.</w:t>
      </w:r>
      <w:r w:rsidR="008C7195" w:rsidRPr="00575CC5">
        <w:rPr>
          <w:rFonts w:ascii="Times New Roman" w:hAnsi="Times New Roman" w:cs="Times New Roman"/>
          <w:noProof/>
          <w:sz w:val="24"/>
          <w:szCs w:val="24"/>
          <w:lang w:val="en-IE"/>
        </w:rPr>
        <w:t xml:space="preserve"> Member State authorities and EU/international bodies </w:t>
      </w:r>
      <w:r w:rsidR="00467884">
        <w:rPr>
          <w:rFonts w:ascii="Times New Roman" w:hAnsi="Times New Roman" w:cs="Times New Roman"/>
          <w:noProof/>
          <w:sz w:val="24"/>
          <w:szCs w:val="24"/>
          <w:lang w:val="en-IE"/>
        </w:rPr>
        <w:t>either</w:t>
      </w:r>
      <w:r w:rsidR="00467884" w:rsidRPr="00575CC5">
        <w:rPr>
          <w:rFonts w:ascii="Times New Roman" w:hAnsi="Times New Roman" w:cs="Times New Roman"/>
          <w:noProof/>
          <w:sz w:val="24"/>
          <w:szCs w:val="24"/>
          <w:lang w:val="en-IE"/>
        </w:rPr>
        <w:t xml:space="preserve"> </w:t>
      </w:r>
      <w:r w:rsidR="008C7195" w:rsidRPr="00575CC5">
        <w:rPr>
          <w:rFonts w:ascii="Times New Roman" w:hAnsi="Times New Roman" w:cs="Times New Roman"/>
          <w:noProof/>
          <w:sz w:val="24"/>
          <w:szCs w:val="24"/>
          <w:lang w:val="en-IE"/>
        </w:rPr>
        <w:t>consider</w:t>
      </w:r>
      <w:r w:rsidR="00467884">
        <w:rPr>
          <w:rFonts w:ascii="Times New Roman" w:hAnsi="Times New Roman" w:cs="Times New Roman"/>
          <w:noProof/>
          <w:sz w:val="24"/>
          <w:szCs w:val="24"/>
          <w:lang w:val="en-IE"/>
        </w:rPr>
        <w:t>ed</w:t>
      </w:r>
      <w:r w:rsidR="008C7195" w:rsidRPr="00575CC5">
        <w:rPr>
          <w:rFonts w:ascii="Times New Roman" w:hAnsi="Times New Roman" w:cs="Times New Roman"/>
          <w:noProof/>
          <w:sz w:val="24"/>
          <w:szCs w:val="24"/>
          <w:lang w:val="en-IE"/>
        </w:rPr>
        <w:t xml:space="preserve"> the Directive to be in line with fundamental rights standards</w:t>
      </w:r>
      <w:r w:rsidR="00467884">
        <w:rPr>
          <w:rFonts w:ascii="Times New Roman" w:hAnsi="Times New Roman" w:cs="Times New Roman"/>
          <w:noProof/>
          <w:sz w:val="24"/>
          <w:szCs w:val="24"/>
          <w:lang w:val="en-IE"/>
        </w:rPr>
        <w:t xml:space="preserve"> or reported no available data</w:t>
      </w:r>
      <w:r w:rsidR="008C7195" w:rsidRPr="00575CC5">
        <w:rPr>
          <w:rFonts w:ascii="Times New Roman" w:hAnsi="Times New Roman" w:cs="Times New Roman"/>
          <w:noProof/>
          <w:sz w:val="24"/>
          <w:szCs w:val="24"/>
          <w:lang w:val="en-IE"/>
        </w:rPr>
        <w:t>.</w:t>
      </w:r>
    </w:p>
    <w:p w14:paraId="498E92E3" w14:textId="33EE043F" w:rsidR="00412F5A" w:rsidRPr="00575CC5" w:rsidRDefault="008C7195" w:rsidP="00EE6985">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Overall, the evidence base remains insufficient to </w:t>
      </w:r>
      <w:r w:rsidR="003F15E3">
        <w:rPr>
          <w:rFonts w:ascii="Times New Roman" w:hAnsi="Times New Roman" w:cs="Times New Roman"/>
          <w:noProof/>
          <w:sz w:val="24"/>
          <w:szCs w:val="24"/>
          <w:lang w:val="en-IE"/>
        </w:rPr>
        <w:t>allow</w:t>
      </w:r>
      <w:r w:rsidR="003F15E3"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firm conclusions</w:t>
      </w:r>
      <w:r w:rsidR="003F15E3">
        <w:rPr>
          <w:rFonts w:ascii="Times New Roman" w:hAnsi="Times New Roman" w:cs="Times New Roman"/>
          <w:noProof/>
          <w:sz w:val="24"/>
          <w:szCs w:val="24"/>
          <w:lang w:val="en-IE"/>
        </w:rPr>
        <w:t xml:space="preserve"> to be drawn</w:t>
      </w:r>
      <w:r w:rsidRPr="00575CC5">
        <w:rPr>
          <w:rFonts w:ascii="Times New Roman" w:hAnsi="Times New Roman" w:cs="Times New Roman"/>
          <w:noProof/>
          <w:sz w:val="24"/>
          <w:szCs w:val="24"/>
          <w:lang w:val="en-IE"/>
        </w:rPr>
        <w:t xml:space="preserve">, </w:t>
      </w:r>
      <w:r w:rsidR="00A43C8E">
        <w:rPr>
          <w:rFonts w:ascii="Times New Roman" w:hAnsi="Times New Roman" w:cs="Times New Roman"/>
          <w:noProof/>
          <w:sz w:val="24"/>
          <w:szCs w:val="24"/>
          <w:lang w:val="en-IE"/>
        </w:rPr>
        <w:t>in the absence of firm</w:t>
      </w:r>
      <w:r w:rsidRPr="00575CC5">
        <w:rPr>
          <w:rFonts w:ascii="Times New Roman" w:hAnsi="Times New Roman" w:cs="Times New Roman"/>
          <w:noProof/>
          <w:sz w:val="24"/>
          <w:szCs w:val="24"/>
          <w:lang w:val="en-IE"/>
        </w:rPr>
        <w:t xml:space="preserve"> case law </w:t>
      </w:r>
      <w:r w:rsidR="00A43C8E">
        <w:rPr>
          <w:rFonts w:ascii="Times New Roman" w:hAnsi="Times New Roman" w:cs="Times New Roman"/>
          <w:noProof/>
          <w:sz w:val="24"/>
          <w:szCs w:val="24"/>
          <w:lang w:val="en-IE"/>
        </w:rPr>
        <w:t>and</w:t>
      </w:r>
      <w:r w:rsidRPr="00575CC5">
        <w:rPr>
          <w:rFonts w:ascii="Times New Roman" w:hAnsi="Times New Roman" w:cs="Times New Roman"/>
          <w:noProof/>
          <w:sz w:val="24"/>
          <w:szCs w:val="24"/>
          <w:lang w:val="en-IE"/>
        </w:rPr>
        <w:t xml:space="preserve"> concrete data</w:t>
      </w:r>
      <w:r w:rsidR="008E5B4A" w:rsidRPr="008E5B4A">
        <w:rPr>
          <w:rFonts w:ascii="Times New Roman" w:hAnsi="Times New Roman" w:cs="Times New Roman"/>
          <w:noProof/>
          <w:sz w:val="24"/>
          <w:szCs w:val="24"/>
          <w:lang w:val="en-IE"/>
        </w:rPr>
        <w:t xml:space="preserve"> </w:t>
      </w:r>
      <w:r w:rsidR="008E5B4A">
        <w:rPr>
          <w:rFonts w:ascii="Times New Roman" w:hAnsi="Times New Roman" w:cs="Times New Roman"/>
          <w:noProof/>
          <w:sz w:val="24"/>
          <w:szCs w:val="24"/>
          <w:lang w:val="en-IE"/>
        </w:rPr>
        <w:t xml:space="preserve"> </w:t>
      </w:r>
      <w:r w:rsidR="008E5B4A" w:rsidRPr="76D071DD">
        <w:rPr>
          <w:rFonts w:ascii="Times New Roman" w:hAnsi="Times New Roman" w:cs="Times New Roman"/>
          <w:noProof/>
          <w:sz w:val="24"/>
          <w:szCs w:val="24"/>
          <w:lang w:val="en-IE"/>
        </w:rPr>
        <w:t>showing that any limitations on the exercise of the rights and freedoms recognised by the EU Charter of Fundamental Rights do not comply with the requirements of Article 52 thereof.</w:t>
      </w:r>
      <w:r w:rsidR="00412F5A" w:rsidRPr="00575CC5">
        <w:rPr>
          <w:rFonts w:ascii="Times New Roman" w:hAnsi="Times New Roman" w:cs="Times New Roman"/>
          <w:noProof/>
          <w:sz w:val="24"/>
          <w:szCs w:val="24"/>
          <w:lang w:val="en-IE"/>
        </w:rPr>
        <w:t xml:space="preserve"> </w:t>
      </w:r>
    </w:p>
    <w:p w14:paraId="2FDAEC05" w14:textId="67150111" w:rsidR="004B4F64" w:rsidRPr="00575CC5" w:rsidRDefault="00412F5A" w:rsidP="00292FB8">
      <w:pPr>
        <w:jc w:val="both"/>
        <w:rPr>
          <w:rFonts w:ascii="Times New Roman" w:hAnsi="Times New Roman" w:cs="Times New Roman"/>
          <w:noProof/>
          <w:sz w:val="24"/>
          <w:szCs w:val="24"/>
          <w:lang w:val="en-IE"/>
        </w:rPr>
      </w:pPr>
      <w:r w:rsidRPr="0081085D">
        <w:rPr>
          <w:rFonts w:ascii="Times New Roman" w:hAnsi="Times New Roman" w:cs="Times New Roman"/>
          <w:b/>
          <w:bCs/>
          <w:noProof/>
          <w:sz w:val="24"/>
          <w:szCs w:val="24"/>
          <w:lang w:val="en-IE"/>
        </w:rPr>
        <w:t>International organisations and EU bodies</w:t>
      </w:r>
      <w:r w:rsidRPr="0081085D">
        <w:rPr>
          <w:rFonts w:ascii="Times New Roman" w:hAnsi="Times New Roman" w:cs="Times New Roman"/>
          <w:noProof/>
          <w:sz w:val="24"/>
          <w:szCs w:val="24"/>
          <w:lang w:val="en-IE"/>
        </w:rPr>
        <w:t xml:space="preserve"> broadly confirmed that the Directive respects fundamental rights</w:t>
      </w:r>
      <w:r w:rsidRPr="0081085D">
        <w:rPr>
          <w:rFonts w:ascii="Times New Roman" w:hAnsi="Times New Roman" w:cs="Times New Roman"/>
          <w:noProof/>
          <w:sz w:val="24"/>
          <w:szCs w:val="24"/>
          <w:vertAlign w:val="superscript"/>
          <w:lang w:val="en-IE"/>
        </w:rPr>
        <w:footnoteReference w:id="69"/>
      </w:r>
      <w:r w:rsidRPr="0081085D">
        <w:rPr>
          <w:rFonts w:ascii="Times New Roman" w:hAnsi="Times New Roman" w:cs="Times New Roman"/>
          <w:noProof/>
          <w:sz w:val="24"/>
          <w:szCs w:val="24"/>
          <w:lang w:val="en-IE"/>
        </w:rPr>
        <w:t>. They noted that the offences listed in Articles 3 and 4 are defined in a clear and foreseeable manner and that the penalties</w:t>
      </w:r>
      <w:r w:rsidRPr="00575CC5">
        <w:rPr>
          <w:rFonts w:ascii="Times New Roman" w:hAnsi="Times New Roman" w:cs="Times New Roman"/>
          <w:noProof/>
          <w:sz w:val="24"/>
          <w:szCs w:val="24"/>
          <w:lang w:val="en-IE"/>
        </w:rPr>
        <w:t xml:space="preserve"> </w:t>
      </w:r>
      <w:r w:rsidR="000D7CE9">
        <w:rPr>
          <w:rFonts w:ascii="Times New Roman" w:hAnsi="Times New Roman" w:cs="Times New Roman"/>
          <w:noProof/>
          <w:sz w:val="24"/>
          <w:szCs w:val="24"/>
          <w:lang w:val="en-IE"/>
        </w:rPr>
        <w:t>provided for</w:t>
      </w:r>
      <w:r w:rsidR="000D7CE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in </w:t>
      </w:r>
      <w:r w:rsidR="00FD4888" w:rsidRPr="00A908E5">
        <w:rPr>
          <w:rFonts w:ascii="Times New Roman" w:hAnsi="Times New Roman" w:cs="Times New Roman"/>
          <w:noProof/>
          <w:sz w:val="24"/>
          <w:szCs w:val="24"/>
        </w:rPr>
        <w:t>Article</w:t>
      </w:r>
      <w:r w:rsidR="00FD4888">
        <w:rPr>
          <w:rFonts w:ascii="Times New Roman" w:hAnsi="Times New Roman" w:cs="Times New Roman"/>
          <w:noProof/>
          <w:sz w:val="24"/>
          <w:szCs w:val="24"/>
        </w:rPr>
        <w:t> </w:t>
      </w:r>
      <w:r w:rsidR="00FD4888" w:rsidRPr="00A908E5">
        <w:rPr>
          <w:rFonts w:ascii="Times New Roman" w:hAnsi="Times New Roman" w:cs="Times New Roman"/>
          <w:noProof/>
          <w:sz w:val="24"/>
          <w:szCs w:val="24"/>
        </w:rPr>
        <w:t>5</w:t>
      </w:r>
      <w:r w:rsidR="00FD4888">
        <w:rPr>
          <w:rFonts w:ascii="Times New Roman" w:hAnsi="Times New Roman" w:cs="Times New Roman"/>
          <w:noProof/>
          <w:sz w:val="24"/>
          <w:szCs w:val="24"/>
        </w:rPr>
        <w:t xml:space="preserve"> </w:t>
      </w:r>
      <w:r w:rsidRPr="00575CC5">
        <w:rPr>
          <w:rFonts w:ascii="Times New Roman" w:hAnsi="Times New Roman" w:cs="Times New Roman"/>
          <w:noProof/>
          <w:sz w:val="24"/>
          <w:szCs w:val="24"/>
          <w:lang w:val="en-IE"/>
        </w:rPr>
        <w:t xml:space="preserve">are proportionate. One organisation reported no impact on freedom of association, while another considered the Directive to be consistent with both the Charter </w:t>
      </w:r>
      <w:r w:rsidR="004B6A2E">
        <w:rPr>
          <w:rFonts w:ascii="Times New Roman" w:hAnsi="Times New Roman" w:cs="Times New Roman"/>
          <w:noProof/>
          <w:sz w:val="24"/>
          <w:szCs w:val="24"/>
          <w:lang w:val="en-IE"/>
        </w:rPr>
        <w:t xml:space="preserve">of Fundamental Rights of the European Union </w:t>
      </w:r>
      <w:r w:rsidRPr="00575CC5">
        <w:rPr>
          <w:rFonts w:ascii="Times New Roman" w:hAnsi="Times New Roman" w:cs="Times New Roman"/>
          <w:noProof/>
          <w:sz w:val="24"/>
          <w:szCs w:val="24"/>
          <w:lang w:val="en-IE"/>
        </w:rPr>
        <w:t>and the European Convention on Human Rights. Generally, these stakeholders have not reported significant issues but highlighted a lack of systematic data.</w:t>
      </w:r>
      <w:r w:rsidR="004907A9" w:rsidRPr="004907A9">
        <w:rPr>
          <w:noProof/>
        </w:rPr>
        <w:t xml:space="preserve"> </w:t>
      </w:r>
      <w:r w:rsidR="004907A9" w:rsidRPr="004907A9">
        <w:rPr>
          <w:rFonts w:ascii="Times New Roman" w:hAnsi="Times New Roman" w:cs="Times New Roman"/>
          <w:noProof/>
          <w:sz w:val="24"/>
          <w:szCs w:val="24"/>
          <w:lang w:val="en-IE"/>
        </w:rPr>
        <w:t>It should be noted that the Court of Justice of the European Union (CJEU)</w:t>
      </w:r>
      <w:r w:rsidR="004907A9" w:rsidRPr="004907A9">
        <w:rPr>
          <w:rStyle w:val="FootnoteReference"/>
          <w:rFonts w:ascii="Times New Roman" w:hAnsi="Times New Roman" w:cs="Times New Roman"/>
          <w:noProof/>
          <w:szCs w:val="24"/>
          <w:lang w:val="en-IE"/>
        </w:rPr>
        <w:t xml:space="preserve"> </w:t>
      </w:r>
      <w:r w:rsidR="004907A9">
        <w:rPr>
          <w:rStyle w:val="FootnoteReference"/>
          <w:rFonts w:ascii="Times New Roman" w:hAnsi="Times New Roman" w:cs="Times New Roman"/>
          <w:noProof/>
          <w:szCs w:val="24"/>
          <w:lang w:val="en-IE"/>
        </w:rPr>
        <w:footnoteReference w:id="70"/>
      </w:r>
      <w:r w:rsidR="004907A9" w:rsidRPr="004907A9">
        <w:rPr>
          <w:rFonts w:ascii="Times New Roman" w:hAnsi="Times New Roman" w:cs="Times New Roman"/>
          <w:noProof/>
          <w:sz w:val="24"/>
          <w:szCs w:val="24"/>
          <w:lang w:val="en-IE"/>
        </w:rPr>
        <w:t>, in interpreting Directive 2005/60/EC, has ruled on the compatibility of self-laundering with Article 50 of the Charter of Fundamental Rights of the European Union. The Court held that there is no breach of the principle of ne bis in idem provided that the facts underlying the money-laundering prosecution are not identical to those constituting the predicate offence.</w:t>
      </w:r>
    </w:p>
    <w:p w14:paraId="1A80E9EB" w14:textId="77777777" w:rsidR="00EA3CA8" w:rsidRDefault="00412F5A" w:rsidP="00412F5A">
      <w:pPr>
        <w:jc w:val="both"/>
        <w:rPr>
          <w:rFonts w:ascii="Times New Roman" w:hAnsi="Times New Roman" w:cs="Times New Roman"/>
          <w:noProof/>
          <w:sz w:val="24"/>
          <w:szCs w:val="24"/>
          <w:lang w:val="en-IE"/>
        </w:rPr>
      </w:pPr>
      <w:r w:rsidRPr="00575CC5">
        <w:rPr>
          <w:rFonts w:ascii="Times New Roman" w:hAnsi="Times New Roman" w:cs="Times New Roman"/>
          <w:b/>
          <w:bCs/>
          <w:noProof/>
          <w:sz w:val="24"/>
          <w:szCs w:val="24"/>
          <w:lang w:val="en-IE"/>
        </w:rPr>
        <w:t>NGOs, think tanks, academics and associations</w:t>
      </w:r>
      <w:r w:rsidRPr="00575CC5">
        <w:rPr>
          <w:rFonts w:ascii="Times New Roman" w:hAnsi="Times New Roman" w:cs="Times New Roman"/>
          <w:noProof/>
          <w:sz w:val="24"/>
          <w:szCs w:val="24"/>
          <w:lang w:val="en-IE"/>
        </w:rPr>
        <w:t xml:space="preserve"> expressed more critical perspectives</w:t>
      </w:r>
      <w:r w:rsidRPr="00575CC5">
        <w:rPr>
          <w:rFonts w:ascii="Times New Roman" w:hAnsi="Times New Roman" w:cs="Times New Roman"/>
          <w:noProof/>
          <w:sz w:val="24"/>
          <w:szCs w:val="24"/>
          <w:vertAlign w:val="superscript"/>
          <w:lang w:val="en-IE"/>
        </w:rPr>
        <w:footnoteReference w:id="71"/>
      </w:r>
      <w:r w:rsidR="00EA3CA8">
        <w:rPr>
          <w:rFonts w:ascii="Times New Roman" w:hAnsi="Times New Roman" w:cs="Times New Roman"/>
          <w:noProof/>
          <w:sz w:val="24"/>
          <w:szCs w:val="24"/>
          <w:lang w:val="en-IE"/>
        </w:rPr>
        <w:t xml:space="preserve"> on the </w:t>
      </w:r>
      <w:r w:rsidR="00EA3CA8" w:rsidRPr="00EA3CA8">
        <w:rPr>
          <w:rFonts w:ascii="Times New Roman" w:hAnsi="Times New Roman" w:cs="Times New Roman"/>
          <w:noProof/>
          <w:sz w:val="24"/>
          <w:szCs w:val="24"/>
          <w:lang w:val="en-IE"/>
        </w:rPr>
        <w:t>potential direct impact on fundamental rights and freedoms by the Directive</w:t>
      </w:r>
      <w:r w:rsidR="00EA3CA8">
        <w:rPr>
          <w:rFonts w:ascii="Times New Roman" w:hAnsi="Times New Roman" w:cs="Times New Roman"/>
          <w:noProof/>
          <w:sz w:val="24"/>
          <w:szCs w:val="24"/>
          <w:lang w:val="en-IE"/>
        </w:rPr>
        <w:t>.</w:t>
      </w:r>
    </w:p>
    <w:p w14:paraId="376DA07B" w14:textId="7719FC7A" w:rsidR="003763EB" w:rsidRDefault="00FF7BF8" w:rsidP="00412F5A">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With regard to</w:t>
      </w:r>
      <w:r w:rsidR="00412F5A" w:rsidRPr="00575CC5">
        <w:rPr>
          <w:rFonts w:ascii="Times New Roman" w:hAnsi="Times New Roman" w:cs="Times New Roman"/>
          <w:noProof/>
          <w:sz w:val="24"/>
          <w:szCs w:val="24"/>
          <w:lang w:val="en-IE"/>
        </w:rPr>
        <w:t xml:space="preserve"> the definition of </w:t>
      </w:r>
      <w:r w:rsidR="004B6A2E">
        <w:rPr>
          <w:rFonts w:ascii="Times New Roman" w:hAnsi="Times New Roman" w:cs="Times New Roman"/>
          <w:noProof/>
          <w:sz w:val="24"/>
          <w:szCs w:val="24"/>
          <w:lang w:val="en-IE"/>
        </w:rPr>
        <w:t>‘</w:t>
      </w:r>
      <w:r w:rsidR="00412F5A" w:rsidRPr="00575CC5">
        <w:rPr>
          <w:rFonts w:ascii="Times New Roman" w:hAnsi="Times New Roman" w:cs="Times New Roman"/>
          <w:noProof/>
          <w:sz w:val="24"/>
          <w:szCs w:val="24"/>
          <w:lang w:val="en-IE"/>
        </w:rPr>
        <w:t>criminal activity</w:t>
      </w:r>
      <w:r w:rsidR="004B6A2E">
        <w:rPr>
          <w:rFonts w:ascii="Times New Roman" w:hAnsi="Times New Roman" w:cs="Times New Roman"/>
          <w:noProof/>
          <w:sz w:val="24"/>
          <w:szCs w:val="24"/>
          <w:lang w:val="en-IE"/>
        </w:rPr>
        <w:t xml:space="preserve">’ </w:t>
      </w:r>
      <w:r w:rsidR="00412F5A" w:rsidRPr="00575CC5">
        <w:rPr>
          <w:rFonts w:ascii="Times New Roman" w:hAnsi="Times New Roman" w:cs="Times New Roman"/>
          <w:noProof/>
          <w:sz w:val="24"/>
          <w:szCs w:val="24"/>
          <w:lang w:val="en-IE"/>
        </w:rPr>
        <w:t>in Article 2</w:t>
      </w:r>
      <w:r>
        <w:rPr>
          <w:rFonts w:ascii="Times New Roman" w:hAnsi="Times New Roman" w:cs="Times New Roman"/>
          <w:noProof/>
          <w:sz w:val="24"/>
          <w:szCs w:val="24"/>
          <w:lang w:val="en-IE"/>
        </w:rPr>
        <w:t>,</w:t>
      </w:r>
      <w:r w:rsidR="00650244">
        <w:rPr>
          <w:rFonts w:ascii="Times New Roman" w:hAnsi="Times New Roman" w:cs="Times New Roman"/>
          <w:noProof/>
          <w:sz w:val="24"/>
          <w:szCs w:val="24"/>
          <w:lang w:val="en-IE"/>
        </w:rPr>
        <w:t xml:space="preserve"> for example,</w:t>
      </w:r>
      <w:r>
        <w:rPr>
          <w:rFonts w:ascii="Times New Roman" w:hAnsi="Times New Roman" w:cs="Times New Roman"/>
          <w:noProof/>
          <w:sz w:val="24"/>
          <w:szCs w:val="24"/>
          <w:lang w:val="en-IE"/>
        </w:rPr>
        <w:t xml:space="preserve"> some stakeholders have </w:t>
      </w:r>
      <w:r w:rsidR="00650244">
        <w:rPr>
          <w:rFonts w:ascii="Times New Roman" w:hAnsi="Times New Roman" w:cs="Times New Roman"/>
          <w:noProof/>
          <w:sz w:val="24"/>
          <w:szCs w:val="24"/>
          <w:lang w:val="en-IE"/>
        </w:rPr>
        <w:t xml:space="preserve">voiced concerns that it </w:t>
      </w:r>
      <w:r w:rsidR="00412F5A" w:rsidRPr="00575CC5">
        <w:rPr>
          <w:rFonts w:ascii="Times New Roman" w:hAnsi="Times New Roman" w:cs="Times New Roman"/>
          <w:noProof/>
          <w:sz w:val="24"/>
          <w:szCs w:val="24"/>
          <w:lang w:val="en-IE"/>
        </w:rPr>
        <w:t>does not fully meet the legality principle</w:t>
      </w:r>
      <w:r w:rsidR="009007D4">
        <w:rPr>
          <w:rFonts w:ascii="Times New Roman" w:hAnsi="Times New Roman" w:cs="Times New Roman"/>
          <w:noProof/>
          <w:sz w:val="24"/>
          <w:szCs w:val="24"/>
          <w:lang w:val="en-IE"/>
        </w:rPr>
        <w:t xml:space="preserve">, </w:t>
      </w:r>
      <w:r w:rsidR="00412F5A" w:rsidRPr="00575CC5">
        <w:rPr>
          <w:rFonts w:ascii="Times New Roman" w:hAnsi="Times New Roman" w:cs="Times New Roman"/>
          <w:noProof/>
          <w:sz w:val="24"/>
          <w:szCs w:val="24"/>
          <w:lang w:val="en-IE"/>
        </w:rPr>
        <w:t xml:space="preserve">pointing to vague terminology such as </w:t>
      </w:r>
      <w:r w:rsidR="004B6A2E">
        <w:rPr>
          <w:rFonts w:ascii="Times New Roman" w:hAnsi="Times New Roman" w:cs="Times New Roman"/>
          <w:noProof/>
          <w:sz w:val="24"/>
          <w:szCs w:val="24"/>
          <w:lang w:val="en-IE"/>
        </w:rPr>
        <w:t>‘</w:t>
      </w:r>
      <w:r w:rsidR="00412F5A" w:rsidRPr="00575CC5">
        <w:rPr>
          <w:rFonts w:ascii="Times New Roman" w:hAnsi="Times New Roman" w:cs="Times New Roman"/>
          <w:noProof/>
          <w:sz w:val="24"/>
          <w:szCs w:val="24"/>
          <w:lang w:val="en-IE"/>
        </w:rPr>
        <w:t>cybercrime</w:t>
      </w:r>
      <w:r w:rsidR="004B6A2E">
        <w:rPr>
          <w:rFonts w:ascii="Times New Roman" w:hAnsi="Times New Roman" w:cs="Times New Roman"/>
          <w:noProof/>
          <w:sz w:val="24"/>
          <w:szCs w:val="24"/>
          <w:lang w:val="en-IE"/>
        </w:rPr>
        <w:t>’</w:t>
      </w:r>
      <w:r w:rsidR="00412F5A" w:rsidRPr="00575CC5">
        <w:rPr>
          <w:rFonts w:ascii="Times New Roman" w:hAnsi="Times New Roman" w:cs="Times New Roman"/>
          <w:noProof/>
          <w:sz w:val="24"/>
          <w:szCs w:val="24"/>
          <w:lang w:val="en-IE"/>
        </w:rPr>
        <w:t xml:space="preserve"> and </w:t>
      </w:r>
      <w:r w:rsidR="004E57AB">
        <w:rPr>
          <w:rFonts w:ascii="Times New Roman" w:hAnsi="Times New Roman" w:cs="Times New Roman"/>
          <w:noProof/>
          <w:sz w:val="24"/>
          <w:szCs w:val="24"/>
          <w:lang w:val="en-IE"/>
        </w:rPr>
        <w:t>‘</w:t>
      </w:r>
      <w:r w:rsidR="00412F5A" w:rsidRPr="00575CC5">
        <w:rPr>
          <w:rFonts w:ascii="Times New Roman" w:hAnsi="Times New Roman" w:cs="Times New Roman"/>
          <w:noProof/>
          <w:sz w:val="24"/>
          <w:szCs w:val="24"/>
          <w:lang w:val="en-IE"/>
        </w:rPr>
        <w:t>corruption</w:t>
      </w:r>
      <w:r w:rsidR="004E57AB">
        <w:rPr>
          <w:rFonts w:ascii="Times New Roman" w:hAnsi="Times New Roman" w:cs="Times New Roman"/>
          <w:noProof/>
          <w:sz w:val="24"/>
          <w:szCs w:val="24"/>
          <w:lang w:val="en-IE"/>
        </w:rPr>
        <w:t>’</w:t>
      </w:r>
      <w:r w:rsidR="00A23C71" w:rsidRPr="00575CC5">
        <w:rPr>
          <w:rFonts w:ascii="Times New Roman" w:hAnsi="Times New Roman" w:cs="Times New Roman"/>
          <w:noProof/>
          <w:sz w:val="24"/>
          <w:szCs w:val="24"/>
          <w:lang w:val="en-IE"/>
        </w:rPr>
        <w:t>”</w:t>
      </w:r>
      <w:r w:rsidR="00A23C71">
        <w:rPr>
          <w:rFonts w:ascii="Times New Roman" w:hAnsi="Times New Roman" w:cs="Times New Roman"/>
          <w:noProof/>
          <w:sz w:val="24"/>
          <w:szCs w:val="24"/>
          <w:lang w:val="en-IE"/>
        </w:rPr>
        <w:t>, which undermines legal certainty</w:t>
      </w:r>
      <w:r w:rsidR="00A23C71" w:rsidRPr="00575CC5">
        <w:rPr>
          <w:rFonts w:ascii="Times New Roman" w:hAnsi="Times New Roman" w:cs="Times New Roman"/>
          <w:noProof/>
          <w:sz w:val="24"/>
          <w:szCs w:val="24"/>
          <w:lang w:val="en-IE"/>
        </w:rPr>
        <w:t>.</w:t>
      </w:r>
    </w:p>
    <w:p w14:paraId="29BB1732" w14:textId="742AED6A" w:rsidR="00085D65" w:rsidRDefault="00085D65" w:rsidP="00412F5A">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Concerns were also raised about Article 3</w:t>
      </w:r>
      <w:r>
        <w:rPr>
          <w:rFonts w:ascii="Times New Roman" w:hAnsi="Times New Roman" w:cs="Times New Roman"/>
          <w:noProof/>
          <w:sz w:val="24"/>
          <w:szCs w:val="24"/>
          <w:lang w:val="en-IE"/>
        </w:rPr>
        <w:t xml:space="preserve"> (2)</w:t>
      </w:r>
      <w:r w:rsidRPr="00575CC5">
        <w:rPr>
          <w:rFonts w:ascii="Times New Roman" w:hAnsi="Times New Roman" w:cs="Times New Roman"/>
          <w:noProof/>
          <w:sz w:val="24"/>
          <w:szCs w:val="24"/>
          <w:lang w:val="en-IE"/>
        </w:rPr>
        <w:t>, which</w:t>
      </w:r>
      <w:r>
        <w:rPr>
          <w:rFonts w:ascii="Times New Roman" w:hAnsi="Times New Roman" w:cs="Times New Roman"/>
          <w:noProof/>
          <w:sz w:val="24"/>
          <w:szCs w:val="24"/>
          <w:lang w:val="en-IE"/>
        </w:rPr>
        <w:t xml:space="preserve"> </w:t>
      </w:r>
      <w:r w:rsidR="00C80320">
        <w:rPr>
          <w:rFonts w:ascii="Times New Roman" w:hAnsi="Times New Roman" w:cs="Times New Roman"/>
          <w:noProof/>
          <w:sz w:val="24"/>
          <w:szCs w:val="24"/>
          <w:lang w:val="en-IE"/>
        </w:rPr>
        <w:t>allows</w:t>
      </w:r>
      <w:r>
        <w:rPr>
          <w:rFonts w:ascii="Times New Roman" w:hAnsi="Times New Roman" w:cs="Times New Roman"/>
          <w:noProof/>
          <w:sz w:val="24"/>
          <w:szCs w:val="24"/>
          <w:lang w:val="en-IE"/>
        </w:rPr>
        <w:t xml:space="preserve"> Member States to convict for money laundering where the person concerned suspected or ought to have known of the illicit origin of the property. Stakeholders, consider that this may </w:t>
      </w:r>
      <w:r w:rsidRPr="00575CC5">
        <w:rPr>
          <w:rFonts w:ascii="Times New Roman" w:hAnsi="Times New Roman" w:cs="Times New Roman"/>
          <w:noProof/>
          <w:sz w:val="24"/>
          <w:szCs w:val="24"/>
          <w:lang w:val="en-IE"/>
        </w:rPr>
        <w:t>undermin</w:t>
      </w:r>
      <w:r>
        <w:rPr>
          <w:rFonts w:ascii="Times New Roman" w:hAnsi="Times New Roman" w:cs="Times New Roman"/>
          <w:noProof/>
          <w:sz w:val="24"/>
          <w:szCs w:val="24"/>
          <w:lang w:val="en-IE"/>
        </w:rPr>
        <w:t>e</w:t>
      </w:r>
      <w:r w:rsidRPr="00575CC5">
        <w:rPr>
          <w:rFonts w:ascii="Times New Roman" w:hAnsi="Times New Roman" w:cs="Times New Roman"/>
          <w:noProof/>
          <w:sz w:val="24"/>
          <w:szCs w:val="24"/>
          <w:lang w:val="en-IE"/>
        </w:rPr>
        <w:t xml:space="preserve"> the presumption of innocence and the right to a fair trial</w:t>
      </w:r>
      <w:r>
        <w:rPr>
          <w:rFonts w:ascii="Times New Roman" w:hAnsi="Times New Roman" w:cs="Times New Roman"/>
          <w:noProof/>
          <w:sz w:val="24"/>
          <w:szCs w:val="24"/>
          <w:lang w:val="en-IE"/>
        </w:rPr>
        <w:t>, due to a low burden of proof</w:t>
      </w:r>
      <w:r w:rsidRPr="00575CC5">
        <w:rPr>
          <w:rFonts w:ascii="Times New Roman" w:hAnsi="Times New Roman" w:cs="Times New Roman"/>
          <w:noProof/>
          <w:sz w:val="24"/>
          <w:szCs w:val="24"/>
          <w:lang w:val="en-IE"/>
        </w:rPr>
        <w:t xml:space="preserve">. </w:t>
      </w:r>
    </w:p>
    <w:p w14:paraId="410D5CA5" w14:textId="3AF7C77C" w:rsidR="00F50D08" w:rsidRPr="00F02686" w:rsidRDefault="009A0726" w:rsidP="005B3328">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introduction of </w:t>
      </w:r>
      <w:r w:rsidRPr="00575CC5">
        <w:rPr>
          <w:rFonts w:ascii="Times New Roman" w:hAnsi="Times New Roman" w:cs="Times New Roman"/>
          <w:noProof/>
          <w:sz w:val="24"/>
          <w:szCs w:val="24"/>
        </w:rPr>
        <w:t>the stand-alone money laundering offence</w:t>
      </w:r>
      <w:r>
        <w:rPr>
          <w:rFonts w:ascii="Times New Roman" w:hAnsi="Times New Roman" w:cs="Times New Roman"/>
          <w:noProof/>
          <w:sz w:val="24"/>
          <w:szCs w:val="24"/>
        </w:rPr>
        <w:t xml:space="preserve"> (Article 3</w:t>
      </w:r>
      <w:r w:rsidR="005B3328">
        <w:rPr>
          <w:rFonts w:ascii="Times New Roman" w:hAnsi="Times New Roman" w:cs="Times New Roman"/>
          <w:noProof/>
          <w:sz w:val="24"/>
          <w:szCs w:val="24"/>
        </w:rPr>
        <w:t xml:space="preserve"> (3) </w:t>
      </w:r>
      <w:r w:rsidR="00E3363D">
        <w:rPr>
          <w:rFonts w:ascii="Times New Roman" w:hAnsi="Times New Roman" w:cs="Times New Roman"/>
          <w:noProof/>
          <w:sz w:val="24"/>
          <w:szCs w:val="24"/>
        </w:rPr>
        <w:t xml:space="preserve">(a) </w:t>
      </w:r>
      <w:r w:rsidR="005B3328">
        <w:rPr>
          <w:rFonts w:ascii="Times New Roman" w:hAnsi="Times New Roman" w:cs="Times New Roman"/>
          <w:noProof/>
          <w:sz w:val="24"/>
          <w:szCs w:val="24"/>
        </w:rPr>
        <w:t>(b))</w:t>
      </w:r>
      <w:r w:rsidR="00F50D08">
        <w:rPr>
          <w:rFonts w:ascii="Times New Roman" w:hAnsi="Times New Roman" w:cs="Times New Roman"/>
          <w:noProof/>
          <w:sz w:val="24"/>
          <w:szCs w:val="24"/>
        </w:rPr>
        <w:t xml:space="preserve">, </w:t>
      </w:r>
      <w:r w:rsidR="00F50D08">
        <w:rPr>
          <w:rFonts w:ascii="Times New Roman" w:hAnsi="Times New Roman" w:cs="Times New Roman"/>
          <w:noProof/>
          <w:sz w:val="24"/>
          <w:szCs w:val="24"/>
          <w:lang w:val="en-IE"/>
        </w:rPr>
        <w:t xml:space="preserve">which </w:t>
      </w:r>
      <w:r w:rsidR="00F50D08" w:rsidRPr="00575CC5">
        <w:rPr>
          <w:rFonts w:ascii="Times New Roman" w:hAnsi="Times New Roman" w:cs="Times New Roman"/>
          <w:noProof/>
          <w:sz w:val="24"/>
          <w:szCs w:val="24"/>
          <w:lang w:val="en-IE"/>
        </w:rPr>
        <w:t xml:space="preserve">allows for conviction when the illicit origin of property is proven, without requiring all factual elements of the predicate offence or the identity of the perpetrator </w:t>
      </w:r>
      <w:r w:rsidR="00F50D08">
        <w:rPr>
          <w:rFonts w:ascii="Times New Roman" w:hAnsi="Times New Roman" w:cs="Times New Roman"/>
          <w:noProof/>
          <w:sz w:val="24"/>
          <w:szCs w:val="24"/>
          <w:lang w:val="en-IE"/>
        </w:rPr>
        <w:t xml:space="preserve">of that predicate offence </w:t>
      </w:r>
      <w:r w:rsidR="00F50D08" w:rsidRPr="00575CC5">
        <w:rPr>
          <w:rFonts w:ascii="Times New Roman" w:hAnsi="Times New Roman" w:cs="Times New Roman"/>
          <w:noProof/>
          <w:sz w:val="24"/>
          <w:szCs w:val="24"/>
          <w:lang w:val="en-IE"/>
        </w:rPr>
        <w:t>to be demonstrated</w:t>
      </w:r>
      <w:r w:rsidR="00F50D08">
        <w:rPr>
          <w:rFonts w:ascii="Times New Roman" w:hAnsi="Times New Roman" w:cs="Times New Roman"/>
          <w:noProof/>
          <w:sz w:val="24"/>
          <w:szCs w:val="24"/>
          <w:lang w:val="en-IE"/>
        </w:rPr>
        <w:t xml:space="preserve">, </w:t>
      </w:r>
      <w:r w:rsidR="005B3328">
        <w:rPr>
          <w:rFonts w:ascii="Times New Roman" w:hAnsi="Times New Roman" w:cs="Times New Roman"/>
          <w:noProof/>
          <w:sz w:val="24"/>
          <w:szCs w:val="24"/>
        </w:rPr>
        <w:t xml:space="preserve">has </w:t>
      </w:r>
      <w:r w:rsidR="00C80320">
        <w:rPr>
          <w:rFonts w:ascii="Times New Roman" w:hAnsi="Times New Roman" w:cs="Times New Roman"/>
          <w:noProof/>
          <w:sz w:val="24"/>
          <w:szCs w:val="24"/>
        </w:rPr>
        <w:t xml:space="preserve">also </w:t>
      </w:r>
      <w:r w:rsidR="005B3328">
        <w:rPr>
          <w:rFonts w:ascii="Times New Roman" w:hAnsi="Times New Roman" w:cs="Times New Roman"/>
          <w:noProof/>
          <w:sz w:val="24"/>
          <w:szCs w:val="24"/>
        </w:rPr>
        <w:t xml:space="preserve">raised </w:t>
      </w:r>
      <w:r w:rsidR="009E0501">
        <w:rPr>
          <w:rFonts w:ascii="Times New Roman" w:hAnsi="Times New Roman" w:cs="Times New Roman"/>
          <w:noProof/>
          <w:sz w:val="24"/>
          <w:szCs w:val="24"/>
        </w:rPr>
        <w:t>some</w:t>
      </w:r>
      <w:r w:rsidR="005B3328">
        <w:rPr>
          <w:rFonts w:ascii="Times New Roman" w:hAnsi="Times New Roman" w:cs="Times New Roman"/>
          <w:noProof/>
          <w:sz w:val="24"/>
          <w:szCs w:val="24"/>
        </w:rPr>
        <w:t xml:space="preserve"> concerns </w:t>
      </w:r>
      <w:r w:rsidR="00C80320">
        <w:rPr>
          <w:rFonts w:ascii="Times New Roman" w:hAnsi="Times New Roman" w:cs="Times New Roman"/>
          <w:noProof/>
          <w:sz w:val="24"/>
          <w:szCs w:val="24"/>
        </w:rPr>
        <w:t>in this stakeholder group</w:t>
      </w:r>
      <w:r w:rsidR="005B3328">
        <w:rPr>
          <w:rFonts w:ascii="Times New Roman" w:hAnsi="Times New Roman" w:cs="Times New Roman"/>
          <w:noProof/>
          <w:sz w:val="24"/>
          <w:szCs w:val="24"/>
        </w:rPr>
        <w:t xml:space="preserve">. On the one hand, </w:t>
      </w:r>
      <w:r w:rsidR="00F50D08">
        <w:rPr>
          <w:rFonts w:ascii="Times New Roman" w:hAnsi="Times New Roman" w:cs="Times New Roman"/>
          <w:noProof/>
          <w:sz w:val="24"/>
          <w:szCs w:val="24"/>
        </w:rPr>
        <w:t xml:space="preserve">the </w:t>
      </w:r>
      <w:r w:rsidR="00F50D08" w:rsidRPr="00575CC5">
        <w:rPr>
          <w:rFonts w:ascii="Times New Roman" w:hAnsi="Times New Roman" w:cs="Times New Roman"/>
          <w:noProof/>
          <w:sz w:val="24"/>
          <w:szCs w:val="24"/>
          <w:lang w:val="en-IE"/>
        </w:rPr>
        <w:t xml:space="preserve">reduced evidentiary threshold </w:t>
      </w:r>
      <w:r w:rsidR="00F50D08">
        <w:rPr>
          <w:rFonts w:ascii="Times New Roman" w:hAnsi="Times New Roman" w:cs="Times New Roman"/>
          <w:noProof/>
          <w:sz w:val="24"/>
          <w:szCs w:val="24"/>
          <w:lang w:val="en-IE"/>
        </w:rPr>
        <w:t>has been deemed potentially against the principle of</w:t>
      </w:r>
      <w:r w:rsidR="00F50D08" w:rsidRPr="00575CC5">
        <w:rPr>
          <w:rFonts w:ascii="Times New Roman" w:hAnsi="Times New Roman" w:cs="Times New Roman"/>
          <w:noProof/>
          <w:sz w:val="24"/>
          <w:szCs w:val="24"/>
          <w:lang w:val="en-IE"/>
        </w:rPr>
        <w:t xml:space="preserve"> proportionality</w:t>
      </w:r>
      <w:r w:rsidR="00EE645D">
        <w:rPr>
          <w:rFonts w:ascii="Times New Roman" w:hAnsi="Times New Roman" w:cs="Times New Roman"/>
          <w:noProof/>
          <w:sz w:val="24"/>
          <w:szCs w:val="24"/>
          <w:lang w:val="en-IE"/>
        </w:rPr>
        <w:t>; e</w:t>
      </w:r>
      <w:r w:rsidR="00F50D08">
        <w:rPr>
          <w:rFonts w:ascii="Times New Roman" w:hAnsi="Times New Roman" w:cs="Times New Roman"/>
          <w:noProof/>
          <w:sz w:val="24"/>
          <w:szCs w:val="24"/>
          <w:lang w:val="en-IE"/>
        </w:rPr>
        <w:t xml:space="preserve">specially where Member States apply an all-crimes approach – meaning that all crimes can constitute a predicate offence – </w:t>
      </w:r>
      <w:r w:rsidR="00F50D08" w:rsidRPr="00575CC5">
        <w:rPr>
          <w:rFonts w:ascii="Times New Roman" w:hAnsi="Times New Roman" w:cs="Times New Roman"/>
          <w:noProof/>
          <w:sz w:val="24"/>
          <w:szCs w:val="24"/>
          <w:lang w:val="en-IE"/>
        </w:rPr>
        <w:t xml:space="preserve">even minor offences </w:t>
      </w:r>
      <w:r w:rsidR="00F50D08" w:rsidRPr="00413B9F">
        <w:rPr>
          <w:rFonts w:ascii="Times New Roman" w:hAnsi="Times New Roman" w:cs="Times New Roman"/>
          <w:noProof/>
          <w:sz w:val="24"/>
          <w:szCs w:val="24"/>
          <w:lang w:val="en-IE"/>
        </w:rPr>
        <w:t xml:space="preserve">could potentially give rise </w:t>
      </w:r>
      <w:r w:rsidR="00F50D08" w:rsidRPr="00F02686">
        <w:rPr>
          <w:rFonts w:ascii="Times New Roman" w:hAnsi="Times New Roman" w:cs="Times New Roman"/>
          <w:noProof/>
          <w:sz w:val="24"/>
          <w:szCs w:val="24"/>
          <w:lang w:val="en-IE"/>
        </w:rPr>
        <w:t>to money laundering charges. Judges may therefore lack sufficient context regarding the underlying conduct</w:t>
      </w:r>
      <w:r w:rsidR="00F50D08" w:rsidRPr="00413B9F">
        <w:rPr>
          <w:rFonts w:ascii="Times New Roman" w:hAnsi="Times New Roman" w:cs="Times New Roman"/>
          <w:noProof/>
          <w:sz w:val="24"/>
          <w:szCs w:val="24"/>
          <w:lang w:val="en-IE"/>
        </w:rPr>
        <w:t>, which could risk imposing potentially disproportionate sanctions.</w:t>
      </w:r>
      <w:r w:rsidR="00EE645D" w:rsidRPr="00413B9F">
        <w:rPr>
          <w:rFonts w:ascii="Times New Roman" w:hAnsi="Times New Roman" w:cs="Times New Roman"/>
          <w:noProof/>
          <w:sz w:val="24"/>
          <w:szCs w:val="24"/>
          <w:lang w:val="en-IE"/>
        </w:rPr>
        <w:t xml:space="preserve"> On the other hand, </w:t>
      </w:r>
      <w:r w:rsidR="00775446" w:rsidRPr="00413B9F">
        <w:rPr>
          <w:rFonts w:ascii="Times New Roman" w:hAnsi="Times New Roman" w:cs="Times New Roman"/>
          <w:noProof/>
          <w:sz w:val="24"/>
          <w:szCs w:val="24"/>
          <w:lang w:val="en-IE"/>
        </w:rPr>
        <w:t>NGOs indicated</w:t>
      </w:r>
      <w:r w:rsidR="00775446" w:rsidRPr="00775446">
        <w:rPr>
          <w:rFonts w:ascii="Times New Roman" w:hAnsi="Times New Roman" w:cs="Times New Roman"/>
          <w:noProof/>
          <w:sz w:val="24"/>
          <w:szCs w:val="24"/>
          <w:lang w:val="en-IE"/>
        </w:rPr>
        <w:t xml:space="preserve"> that these provisions raise concerns on the right to be presumed innocent until proved otherwise and might affect defence rights and general principles which govern any criminal procedure</w:t>
      </w:r>
      <w:r w:rsidR="00E3363D">
        <w:rPr>
          <w:rFonts w:ascii="Times New Roman" w:hAnsi="Times New Roman" w:cs="Times New Roman"/>
          <w:noProof/>
          <w:sz w:val="24"/>
          <w:szCs w:val="24"/>
          <w:lang w:val="en-IE"/>
        </w:rPr>
        <w:t>.</w:t>
      </w:r>
    </w:p>
    <w:p w14:paraId="382B84DC" w14:textId="1C9D515D" w:rsidR="003763EB" w:rsidRPr="00575CC5" w:rsidRDefault="003763EB" w:rsidP="003763EB">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Regarding self-laundering under Article 3(5</w:t>
      </w:r>
      <w:r w:rsidRPr="352F3B1D">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certain stakeholders </w:t>
      </w:r>
      <w:r w:rsidRPr="00575CC5">
        <w:rPr>
          <w:rFonts w:ascii="Times New Roman" w:hAnsi="Times New Roman" w:cs="Times New Roman"/>
          <w:noProof/>
          <w:sz w:val="24"/>
          <w:szCs w:val="24"/>
          <w:lang w:val="en-IE"/>
        </w:rPr>
        <w:t xml:space="preserve">have </w:t>
      </w:r>
      <w:r>
        <w:rPr>
          <w:rFonts w:ascii="Times New Roman" w:hAnsi="Times New Roman" w:cs="Times New Roman"/>
          <w:noProof/>
          <w:sz w:val="24"/>
          <w:szCs w:val="24"/>
          <w:lang w:val="en-IE"/>
        </w:rPr>
        <w:t>pointed out</w:t>
      </w:r>
      <w:r w:rsidRPr="00575CC5">
        <w:rPr>
          <w:rFonts w:ascii="Times New Roman" w:hAnsi="Times New Roman" w:cs="Times New Roman"/>
          <w:noProof/>
          <w:sz w:val="24"/>
          <w:szCs w:val="24"/>
          <w:lang w:val="en-IE"/>
        </w:rPr>
        <w:t xml:space="preserve"> the risk of violati</w:t>
      </w:r>
      <w:r>
        <w:rPr>
          <w:rFonts w:ascii="Times New Roman" w:hAnsi="Times New Roman" w:cs="Times New Roman"/>
          <w:noProof/>
          <w:sz w:val="24"/>
          <w:szCs w:val="24"/>
          <w:lang w:val="en-IE"/>
        </w:rPr>
        <w:t>ons of</w:t>
      </w:r>
      <w:r w:rsidRPr="00575CC5">
        <w:rPr>
          <w:rFonts w:ascii="Times New Roman" w:hAnsi="Times New Roman" w:cs="Times New Roman"/>
          <w:noProof/>
          <w:sz w:val="24"/>
          <w:szCs w:val="24"/>
          <w:lang w:val="en-IE"/>
        </w:rPr>
        <w:t xml:space="preserve"> the principle of </w:t>
      </w:r>
      <w:r w:rsidRPr="00575CC5">
        <w:rPr>
          <w:rFonts w:ascii="Times New Roman" w:hAnsi="Times New Roman" w:cs="Times New Roman"/>
          <w:i/>
          <w:noProof/>
          <w:sz w:val="24"/>
          <w:szCs w:val="24"/>
          <w:lang w:val="en-IE"/>
        </w:rPr>
        <w:t>ne bis in idem</w:t>
      </w:r>
      <w:r w:rsidRPr="00575CC5">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(double jeopardy), as enshrined in Article 50 of the Charter, where</w:t>
      </w:r>
      <w:r w:rsidRPr="00575CC5">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Member States go beyond the minimum standards set by the Directive and punish as self-laundering the</w:t>
      </w:r>
      <w:r w:rsidRPr="00575CC5">
        <w:rPr>
          <w:rFonts w:ascii="Times New Roman" w:hAnsi="Times New Roman" w:cs="Times New Roman"/>
          <w:noProof/>
          <w:sz w:val="24"/>
          <w:szCs w:val="24"/>
          <w:lang w:val="en-IE"/>
        </w:rPr>
        <w:t xml:space="preserve"> acquisition, possession, or use of property</w:t>
      </w:r>
      <w:r>
        <w:rPr>
          <w:rFonts w:ascii="Times New Roman" w:hAnsi="Times New Roman" w:cs="Times New Roman"/>
          <w:noProof/>
          <w:sz w:val="24"/>
          <w:szCs w:val="24"/>
          <w:lang w:val="en-IE"/>
        </w:rPr>
        <w:t xml:space="preserve"> by the author of the predicate offence. </w:t>
      </w:r>
      <w:r w:rsidRPr="76D071DD">
        <w:rPr>
          <w:rFonts w:ascii="Times New Roman" w:hAnsi="Times New Roman" w:cs="Times New Roman"/>
          <w:noProof/>
          <w:sz w:val="24"/>
          <w:szCs w:val="24"/>
          <w:lang w:val="en-IE"/>
        </w:rPr>
        <w:t>This concerns, for instance, cases where an offender steals a vehicle (predicate offence) and the possession and/or use of the vehicle are regarded as self-laundering offences</w:t>
      </w:r>
      <w:r>
        <w:rPr>
          <w:rFonts w:ascii="Times New Roman" w:hAnsi="Times New Roman" w:cs="Times New Roman"/>
          <w:noProof/>
          <w:sz w:val="24"/>
          <w:szCs w:val="24"/>
          <w:lang w:val="en-IE"/>
        </w:rPr>
        <w:t>.</w:t>
      </w:r>
      <w:r w:rsidRPr="00F15855">
        <w:rPr>
          <w:rFonts w:ascii="Times New Roman" w:hAnsi="Times New Roman" w:cs="Times New Roman"/>
          <w:noProof/>
          <w:sz w:val="24"/>
          <w:szCs w:val="24"/>
          <w:lang w:val="en-IE"/>
        </w:rPr>
        <w:t xml:space="preserve"> </w:t>
      </w:r>
      <w:r w:rsidRPr="76D071DD">
        <w:rPr>
          <w:rFonts w:ascii="Times New Roman" w:hAnsi="Times New Roman" w:cs="Times New Roman"/>
          <w:noProof/>
          <w:sz w:val="24"/>
          <w:szCs w:val="24"/>
          <w:lang w:val="en-IE"/>
        </w:rPr>
        <w:t xml:space="preserve">The Directive does not foresee the criminalisation of </w:t>
      </w:r>
      <w:r>
        <w:rPr>
          <w:rFonts w:ascii="Times New Roman" w:hAnsi="Times New Roman" w:cs="Times New Roman"/>
          <w:noProof/>
          <w:sz w:val="24"/>
          <w:szCs w:val="24"/>
          <w:lang w:val="en-IE"/>
        </w:rPr>
        <w:t xml:space="preserve">the acquisition, </w:t>
      </w:r>
      <w:r w:rsidRPr="76D071DD">
        <w:rPr>
          <w:rFonts w:ascii="Times New Roman" w:hAnsi="Times New Roman" w:cs="Times New Roman"/>
          <w:noProof/>
          <w:sz w:val="24"/>
          <w:szCs w:val="24"/>
          <w:lang w:val="en-IE"/>
        </w:rPr>
        <w:t xml:space="preserve">possession or use of property derived from criminal activity </w:t>
      </w:r>
      <w:r>
        <w:rPr>
          <w:rFonts w:ascii="Times New Roman" w:hAnsi="Times New Roman" w:cs="Times New Roman"/>
          <w:noProof/>
          <w:sz w:val="24"/>
          <w:szCs w:val="24"/>
          <w:lang w:val="en-IE"/>
        </w:rPr>
        <w:t>when these conducts are committed by the person who committed or was involved in the criminal activity from which the property was derived.</w:t>
      </w:r>
      <w:r w:rsidRPr="76D071DD">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These stakeholders</w:t>
      </w:r>
      <w:r w:rsidRPr="00313E68">
        <w:rPr>
          <w:rFonts w:ascii="Times New Roman" w:hAnsi="Times New Roman" w:cs="Times New Roman"/>
          <w:noProof/>
          <w:sz w:val="24"/>
          <w:szCs w:val="24"/>
          <w:lang w:val="en-IE"/>
        </w:rPr>
        <w:t xml:space="preserve"> argued that use and possession of proceeds may be inherent </w:t>
      </w:r>
      <w:r>
        <w:rPr>
          <w:rFonts w:ascii="Times New Roman" w:hAnsi="Times New Roman" w:cs="Times New Roman"/>
          <w:noProof/>
          <w:sz w:val="24"/>
          <w:szCs w:val="24"/>
          <w:lang w:val="en-IE"/>
        </w:rPr>
        <w:t>in</w:t>
      </w:r>
      <w:r w:rsidRPr="00313E68">
        <w:rPr>
          <w:rFonts w:ascii="Times New Roman" w:hAnsi="Times New Roman" w:cs="Times New Roman"/>
          <w:noProof/>
          <w:sz w:val="24"/>
          <w:szCs w:val="24"/>
          <w:lang w:val="en-IE"/>
        </w:rPr>
        <w:t xml:space="preserve"> the predicate offence itself</w:t>
      </w:r>
      <w:r>
        <w:rPr>
          <w:rFonts w:ascii="Times New Roman" w:hAnsi="Times New Roman" w:cs="Times New Roman"/>
          <w:noProof/>
          <w:sz w:val="24"/>
          <w:szCs w:val="24"/>
          <w:lang w:val="en-IE"/>
        </w:rPr>
        <w:t>, and the use and possession</w:t>
      </w:r>
      <w:r w:rsidRPr="00313E68">
        <w:rPr>
          <w:rFonts w:ascii="Times New Roman" w:hAnsi="Times New Roman" w:cs="Times New Roman"/>
          <w:noProof/>
          <w:sz w:val="24"/>
          <w:szCs w:val="24"/>
          <w:lang w:val="en-IE"/>
        </w:rPr>
        <w:t xml:space="preserve"> </w:t>
      </w:r>
      <w:r w:rsidRPr="352F3B1D">
        <w:rPr>
          <w:rFonts w:ascii="Times New Roman" w:hAnsi="Times New Roman" w:cs="Times New Roman"/>
          <w:noProof/>
          <w:sz w:val="24"/>
          <w:szCs w:val="24"/>
          <w:lang w:val="en-IE"/>
        </w:rPr>
        <w:t>can be viewed as a direct and logical consequence of the theft and not a</w:t>
      </w:r>
      <w:r>
        <w:rPr>
          <w:rFonts w:ascii="Times New Roman" w:hAnsi="Times New Roman" w:cs="Times New Roman"/>
          <w:noProof/>
          <w:sz w:val="24"/>
          <w:szCs w:val="24"/>
          <w:lang w:val="en-IE"/>
        </w:rPr>
        <w:t>s a</w:t>
      </w:r>
      <w:r w:rsidRPr="352F3B1D">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separate</w:t>
      </w:r>
      <w:r w:rsidRPr="352F3B1D">
        <w:rPr>
          <w:rFonts w:ascii="Times New Roman" w:hAnsi="Times New Roman" w:cs="Times New Roman"/>
          <w:noProof/>
          <w:sz w:val="24"/>
          <w:szCs w:val="24"/>
          <w:lang w:val="en-IE"/>
        </w:rPr>
        <w:t xml:space="preserve"> money laundering offence. As a result</w:t>
      </w:r>
      <w:r>
        <w:rPr>
          <w:rFonts w:ascii="Times New Roman" w:hAnsi="Times New Roman" w:cs="Times New Roman"/>
          <w:noProof/>
          <w:sz w:val="24"/>
          <w:szCs w:val="24"/>
          <w:lang w:val="en-IE"/>
        </w:rPr>
        <w:t>,</w:t>
      </w:r>
      <w:r w:rsidRPr="352F3B1D">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also </w:t>
      </w:r>
      <w:r w:rsidRPr="352F3B1D">
        <w:rPr>
          <w:rFonts w:ascii="Times New Roman" w:hAnsi="Times New Roman" w:cs="Times New Roman"/>
          <w:noProof/>
          <w:sz w:val="24"/>
          <w:szCs w:val="24"/>
          <w:lang w:val="en-IE"/>
        </w:rPr>
        <w:t>prosecuting the offender for money laundering could be seen as punishing the same conduct twice</w:t>
      </w:r>
      <w:r w:rsidRPr="00575CC5">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w:t>
      </w:r>
    </w:p>
    <w:p w14:paraId="0F22F63F" w14:textId="348A952F" w:rsidR="00412F5A" w:rsidRPr="00575CC5" w:rsidRDefault="00412F5A" w:rsidP="00412F5A">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In addition, they criticised </w:t>
      </w:r>
      <w:r w:rsidR="00E25722" w:rsidRPr="00A908E5">
        <w:rPr>
          <w:rFonts w:ascii="Times New Roman" w:hAnsi="Times New Roman" w:cs="Times New Roman"/>
          <w:noProof/>
          <w:sz w:val="24"/>
          <w:szCs w:val="24"/>
        </w:rPr>
        <w:t>Article</w:t>
      </w:r>
      <w:r w:rsidR="00E25722">
        <w:rPr>
          <w:rFonts w:ascii="Times New Roman" w:hAnsi="Times New Roman" w:cs="Times New Roman"/>
          <w:noProof/>
          <w:sz w:val="24"/>
          <w:szCs w:val="24"/>
        </w:rPr>
        <w:t> </w:t>
      </w:r>
      <w:r w:rsidR="00E25722" w:rsidRPr="00A908E5">
        <w:rPr>
          <w:rFonts w:ascii="Times New Roman" w:hAnsi="Times New Roman" w:cs="Times New Roman"/>
          <w:noProof/>
          <w:sz w:val="24"/>
          <w:szCs w:val="24"/>
        </w:rPr>
        <w:t>11</w:t>
      </w:r>
      <w:r w:rsidR="00900DCE">
        <w:rPr>
          <w:rFonts w:ascii="Times New Roman" w:hAnsi="Times New Roman" w:cs="Times New Roman"/>
          <w:noProof/>
          <w:sz w:val="24"/>
          <w:szCs w:val="24"/>
        </w:rPr>
        <w:t xml:space="preserve"> </w:t>
      </w:r>
      <w:r w:rsidRPr="00575CC5">
        <w:rPr>
          <w:rFonts w:ascii="Times New Roman" w:hAnsi="Times New Roman" w:cs="Times New Roman"/>
          <w:noProof/>
          <w:sz w:val="24"/>
          <w:szCs w:val="24"/>
          <w:lang w:val="en-IE"/>
        </w:rPr>
        <w:t xml:space="preserve">for extending special investigative tools </w:t>
      </w:r>
      <w:r w:rsidR="00BE3FF8">
        <w:rPr>
          <w:rFonts w:ascii="Times New Roman" w:hAnsi="Times New Roman" w:cs="Times New Roman"/>
          <w:noProof/>
          <w:sz w:val="24"/>
          <w:szCs w:val="24"/>
          <w:lang w:val="en-IE"/>
        </w:rPr>
        <w:t xml:space="preserve">– typically reserved for combating organised </w:t>
      </w:r>
      <w:r w:rsidR="00AC49BB">
        <w:rPr>
          <w:rFonts w:ascii="Times New Roman" w:hAnsi="Times New Roman" w:cs="Times New Roman"/>
          <w:noProof/>
          <w:sz w:val="24"/>
          <w:szCs w:val="24"/>
          <w:lang w:val="en-IE"/>
        </w:rPr>
        <w:t xml:space="preserve">crime or serious offenses - </w:t>
      </w:r>
      <w:r w:rsidRPr="00575CC5">
        <w:rPr>
          <w:rFonts w:ascii="Times New Roman" w:hAnsi="Times New Roman" w:cs="Times New Roman"/>
          <w:noProof/>
          <w:sz w:val="24"/>
          <w:szCs w:val="24"/>
          <w:lang w:val="en-IE"/>
        </w:rPr>
        <w:t xml:space="preserve">to </w:t>
      </w:r>
      <w:r w:rsidR="00AC49BB">
        <w:rPr>
          <w:rFonts w:ascii="Times New Roman" w:hAnsi="Times New Roman" w:cs="Times New Roman"/>
          <w:noProof/>
          <w:sz w:val="24"/>
          <w:szCs w:val="24"/>
          <w:lang w:val="en-IE"/>
        </w:rPr>
        <w:t xml:space="preserve">simple </w:t>
      </w:r>
      <w:r w:rsidRPr="00575CC5">
        <w:rPr>
          <w:rFonts w:ascii="Times New Roman" w:hAnsi="Times New Roman" w:cs="Times New Roman"/>
          <w:noProof/>
          <w:sz w:val="24"/>
          <w:szCs w:val="24"/>
          <w:lang w:val="en-IE"/>
        </w:rPr>
        <w:t xml:space="preserve">money laundering cases, which they considered disproportionate and potentially infringing on privacy. While </w:t>
      </w:r>
      <w:r w:rsidR="00D71F5F">
        <w:rPr>
          <w:rFonts w:ascii="Times New Roman" w:hAnsi="Times New Roman" w:cs="Times New Roman"/>
          <w:noProof/>
          <w:sz w:val="24"/>
          <w:szCs w:val="24"/>
          <w:lang w:val="en-IE"/>
        </w:rPr>
        <w:t>one NGO</w:t>
      </w:r>
      <w:r w:rsidRPr="00575CC5">
        <w:rPr>
          <w:rFonts w:ascii="Times New Roman" w:hAnsi="Times New Roman" w:cs="Times New Roman"/>
          <w:noProof/>
          <w:sz w:val="24"/>
          <w:szCs w:val="24"/>
          <w:lang w:val="en-IE"/>
        </w:rPr>
        <w:t xml:space="preserve"> considered that the Directive itself provides adequate guarantees, </w:t>
      </w:r>
      <w:r w:rsidR="003D394E">
        <w:rPr>
          <w:rFonts w:ascii="Times New Roman" w:hAnsi="Times New Roman" w:cs="Times New Roman"/>
          <w:noProof/>
          <w:sz w:val="24"/>
          <w:szCs w:val="24"/>
          <w:lang w:val="en-IE"/>
        </w:rPr>
        <w:t>two</w:t>
      </w:r>
      <w:r w:rsidR="00D71F5F">
        <w:rPr>
          <w:rFonts w:ascii="Times New Roman" w:hAnsi="Times New Roman" w:cs="Times New Roman"/>
          <w:noProof/>
          <w:sz w:val="24"/>
          <w:szCs w:val="24"/>
          <w:lang w:val="en-IE"/>
        </w:rPr>
        <w:t xml:space="preserve"> NGO</w:t>
      </w:r>
      <w:r w:rsidR="003D394E">
        <w:rPr>
          <w:rFonts w:ascii="Times New Roman" w:hAnsi="Times New Roman" w:cs="Times New Roman"/>
          <w:noProof/>
          <w:sz w:val="24"/>
          <w:szCs w:val="24"/>
          <w:lang w:val="en-IE"/>
        </w:rPr>
        <w:t>s</w:t>
      </w:r>
      <w:r w:rsidR="00D71F5F"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argued that explicit safeguards for each fundamental right should be included in the main body of the legislation.</w:t>
      </w:r>
    </w:p>
    <w:p w14:paraId="4B4D85BC" w14:textId="37B1F9AE" w:rsidR="00412F5A" w:rsidRDefault="00412F5A" w:rsidP="00412F5A">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Feedback from </w:t>
      </w:r>
      <w:r w:rsidRPr="00575CC5">
        <w:rPr>
          <w:rFonts w:ascii="Times New Roman" w:hAnsi="Times New Roman" w:cs="Times New Roman"/>
          <w:b/>
          <w:bCs/>
          <w:noProof/>
          <w:sz w:val="24"/>
          <w:szCs w:val="24"/>
          <w:lang w:val="en-IE"/>
        </w:rPr>
        <w:t>national authorities</w:t>
      </w:r>
      <w:r w:rsidRPr="00575CC5">
        <w:rPr>
          <w:rFonts w:ascii="Times New Roman" w:hAnsi="Times New Roman" w:cs="Times New Roman"/>
          <w:noProof/>
          <w:sz w:val="24"/>
          <w:szCs w:val="24"/>
          <w:lang w:val="en-IE"/>
        </w:rPr>
        <w:t xml:space="preserve"> was generally more positive or inconclusive</w:t>
      </w:r>
      <w:r w:rsidRPr="00575CC5">
        <w:rPr>
          <w:rFonts w:ascii="Times New Roman" w:hAnsi="Times New Roman" w:cs="Times New Roman"/>
          <w:noProof/>
          <w:sz w:val="24"/>
          <w:szCs w:val="24"/>
          <w:vertAlign w:val="superscript"/>
          <w:lang w:val="en-IE"/>
        </w:rPr>
        <w:footnoteReference w:id="72"/>
      </w:r>
      <w:r w:rsidRPr="00575CC5">
        <w:rPr>
          <w:rFonts w:ascii="Times New Roman" w:hAnsi="Times New Roman" w:cs="Times New Roman"/>
          <w:noProof/>
          <w:sz w:val="24"/>
          <w:szCs w:val="24"/>
          <w:lang w:val="en-IE"/>
        </w:rPr>
        <w:t>. On the issue of private and family life and data protection, Asset Recovery Offices and Financial Intelligence Units mostly reported no available data</w:t>
      </w:r>
      <w:r w:rsidR="00A17307">
        <w:rPr>
          <w:rFonts w:ascii="Times New Roman" w:hAnsi="Times New Roman" w:cs="Times New Roman"/>
          <w:noProof/>
          <w:sz w:val="24"/>
          <w:szCs w:val="24"/>
          <w:lang w:val="en-IE"/>
        </w:rPr>
        <w:t xml:space="preserve"> on which to base an </w:t>
      </w:r>
      <w:r w:rsidR="00A17307" w:rsidRPr="00FD6087">
        <w:rPr>
          <w:rFonts w:ascii="Times New Roman" w:hAnsi="Times New Roman" w:cs="Times New Roman"/>
          <w:noProof/>
          <w:sz w:val="24"/>
          <w:szCs w:val="24"/>
          <w:lang w:val="en-IE"/>
        </w:rPr>
        <w:t>assessment</w:t>
      </w:r>
      <w:r w:rsidRPr="00FD6087">
        <w:rPr>
          <w:rFonts w:ascii="Times New Roman" w:hAnsi="Times New Roman" w:cs="Times New Roman"/>
          <w:noProof/>
          <w:sz w:val="24"/>
          <w:szCs w:val="24"/>
          <w:lang w:val="en-IE"/>
        </w:rPr>
        <w:t xml:space="preserve">, with a few noting no identifiable effect. A minority of Asset </w:t>
      </w:r>
      <w:r w:rsidR="00FD4888" w:rsidRPr="00FD6087">
        <w:rPr>
          <w:rFonts w:ascii="Times New Roman" w:hAnsi="Times New Roman" w:cs="Times New Roman"/>
          <w:noProof/>
          <w:sz w:val="24"/>
          <w:szCs w:val="24"/>
          <w:lang w:val="en-IE"/>
        </w:rPr>
        <w:t>recovery o</w:t>
      </w:r>
      <w:r w:rsidRPr="00FD6087">
        <w:rPr>
          <w:rFonts w:ascii="Times New Roman" w:hAnsi="Times New Roman" w:cs="Times New Roman"/>
          <w:noProof/>
          <w:sz w:val="24"/>
          <w:szCs w:val="24"/>
          <w:lang w:val="en-IE"/>
        </w:rPr>
        <w:t xml:space="preserve">ffices suggested that fundamental rights implications </w:t>
      </w:r>
      <w:r w:rsidR="00FD4888" w:rsidRPr="00FD6087">
        <w:rPr>
          <w:rFonts w:ascii="Times New Roman" w:hAnsi="Times New Roman" w:cs="Times New Roman"/>
          <w:noProof/>
          <w:sz w:val="24"/>
          <w:szCs w:val="24"/>
          <w:lang w:val="en-IE"/>
        </w:rPr>
        <w:t xml:space="preserve">were </w:t>
      </w:r>
      <w:r w:rsidRPr="00FD6087">
        <w:rPr>
          <w:rFonts w:ascii="Times New Roman" w:hAnsi="Times New Roman" w:cs="Times New Roman"/>
          <w:noProof/>
          <w:sz w:val="24"/>
          <w:szCs w:val="24"/>
          <w:lang w:val="en-IE"/>
        </w:rPr>
        <w:t>inherent</w:t>
      </w:r>
      <w:r w:rsidR="00FD4888" w:rsidRPr="00FD6087">
        <w:rPr>
          <w:rFonts w:ascii="Times New Roman" w:hAnsi="Times New Roman" w:cs="Times New Roman"/>
          <w:noProof/>
          <w:sz w:val="24"/>
          <w:szCs w:val="24"/>
          <w:lang w:val="en-IE"/>
        </w:rPr>
        <w:t xml:space="preserve"> in</w:t>
      </w:r>
      <w:r w:rsidRPr="00FD6087">
        <w:rPr>
          <w:rFonts w:ascii="Times New Roman" w:hAnsi="Times New Roman" w:cs="Times New Roman"/>
          <w:noProof/>
          <w:sz w:val="24"/>
          <w:szCs w:val="24"/>
          <w:lang w:val="en-IE"/>
        </w:rPr>
        <w:t xml:space="preserve"> but not exacerbated by the extension of the list of crimes</w:t>
      </w:r>
      <w:r w:rsidR="00066C90" w:rsidRPr="00F02686">
        <w:rPr>
          <w:rFonts w:ascii="Times New Roman" w:hAnsi="Times New Roman" w:cs="Times New Roman"/>
          <w:noProof/>
          <w:sz w:val="24"/>
          <w:szCs w:val="24"/>
          <w:lang w:val="en-IE"/>
        </w:rPr>
        <w:t xml:space="preserve"> that can constitute a predicate offence</w:t>
      </w:r>
      <w:r w:rsidRPr="00FD6087">
        <w:rPr>
          <w:rFonts w:ascii="Times New Roman" w:hAnsi="Times New Roman" w:cs="Times New Roman"/>
          <w:noProof/>
          <w:sz w:val="24"/>
          <w:szCs w:val="24"/>
          <w:lang w:val="en-IE"/>
        </w:rPr>
        <w:t>. La</w:t>
      </w:r>
      <w:r w:rsidRPr="00575CC5">
        <w:rPr>
          <w:rFonts w:ascii="Times New Roman" w:hAnsi="Times New Roman" w:cs="Times New Roman"/>
          <w:noProof/>
          <w:sz w:val="24"/>
          <w:szCs w:val="24"/>
          <w:lang w:val="en-IE"/>
        </w:rPr>
        <w:t xml:space="preserve">w enforcement agencies were evenly divided between those reporting no data and those observing no impact. Several underlined that the Directive </w:t>
      </w:r>
      <w:r w:rsidR="003072E9">
        <w:rPr>
          <w:rFonts w:ascii="Times New Roman" w:hAnsi="Times New Roman" w:cs="Times New Roman"/>
          <w:noProof/>
          <w:sz w:val="24"/>
          <w:szCs w:val="24"/>
          <w:lang w:val="en-IE"/>
        </w:rPr>
        <w:t>was</w:t>
      </w:r>
      <w:r w:rsidR="003072E9"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consistent with the principles set out in </w:t>
      </w:r>
      <w:r w:rsidR="00D262CD" w:rsidRPr="00A908E5">
        <w:rPr>
          <w:rFonts w:ascii="Times New Roman" w:hAnsi="Times New Roman" w:cs="Times New Roman"/>
          <w:noProof/>
          <w:sz w:val="24"/>
          <w:szCs w:val="24"/>
        </w:rPr>
        <w:t>Article</w:t>
      </w:r>
      <w:r w:rsidR="00D262CD">
        <w:rPr>
          <w:rFonts w:ascii="Times New Roman" w:hAnsi="Times New Roman" w:cs="Times New Roman"/>
          <w:noProof/>
          <w:sz w:val="24"/>
          <w:szCs w:val="24"/>
        </w:rPr>
        <w:t> </w:t>
      </w:r>
      <w:r w:rsidR="00D262CD" w:rsidRPr="00A908E5">
        <w:rPr>
          <w:rFonts w:ascii="Times New Roman" w:hAnsi="Times New Roman" w:cs="Times New Roman"/>
          <w:noProof/>
          <w:sz w:val="24"/>
          <w:szCs w:val="24"/>
        </w:rPr>
        <w:t>2 TEU and with the Charter</w:t>
      </w:r>
      <w:r w:rsidR="00D262CD">
        <w:rPr>
          <w:rFonts w:ascii="Times New Roman" w:hAnsi="Times New Roman" w:cs="Times New Roman"/>
          <w:noProof/>
          <w:sz w:val="24"/>
          <w:szCs w:val="24"/>
        </w:rPr>
        <w:t xml:space="preserve"> of Fundamental Rights of the European Union</w:t>
      </w:r>
      <w:r w:rsidRPr="00575CC5">
        <w:rPr>
          <w:rFonts w:ascii="Times New Roman" w:hAnsi="Times New Roman" w:cs="Times New Roman"/>
          <w:noProof/>
          <w:sz w:val="24"/>
          <w:szCs w:val="24"/>
          <w:lang w:val="en-IE"/>
        </w:rPr>
        <w:t xml:space="preserve">, and that it largely </w:t>
      </w:r>
      <w:r w:rsidR="00D262CD" w:rsidRPr="00575CC5">
        <w:rPr>
          <w:rFonts w:ascii="Times New Roman" w:hAnsi="Times New Roman" w:cs="Times New Roman"/>
          <w:noProof/>
          <w:sz w:val="24"/>
          <w:szCs w:val="24"/>
          <w:lang w:val="en-IE"/>
        </w:rPr>
        <w:t>reflect</w:t>
      </w:r>
      <w:r w:rsidR="00D262CD">
        <w:rPr>
          <w:rFonts w:ascii="Times New Roman" w:hAnsi="Times New Roman" w:cs="Times New Roman"/>
          <w:noProof/>
          <w:sz w:val="24"/>
          <w:szCs w:val="24"/>
          <w:lang w:val="en-IE"/>
        </w:rPr>
        <w:t>ed</w:t>
      </w:r>
      <w:r w:rsidR="00D262CD"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existing criminal law provisions on money laundering. Judicial authorities were the most consistent, with the majority reporting no effects</w:t>
      </w:r>
      <w:r w:rsidR="00675380">
        <w:rPr>
          <w:rFonts w:ascii="Times New Roman" w:hAnsi="Times New Roman" w:cs="Times New Roman"/>
          <w:noProof/>
          <w:sz w:val="24"/>
          <w:szCs w:val="24"/>
          <w:lang w:val="en-IE"/>
        </w:rPr>
        <w:t xml:space="preserve"> of the Directive on this topic,</w:t>
      </w:r>
      <w:r w:rsidRPr="00575CC5">
        <w:rPr>
          <w:rFonts w:ascii="Times New Roman" w:hAnsi="Times New Roman" w:cs="Times New Roman"/>
          <w:noProof/>
          <w:sz w:val="24"/>
          <w:szCs w:val="24"/>
          <w:lang w:val="en-IE"/>
        </w:rPr>
        <w:t xml:space="preserve"> and one authority indicating a lack of relevant data.</w:t>
      </w:r>
    </w:p>
    <w:p w14:paraId="5AA709C7" w14:textId="0A9C77E9" w:rsidR="00214F32" w:rsidRDefault="00214F32" w:rsidP="00214F32">
      <w:pPr>
        <w:jc w:val="center"/>
        <w:rPr>
          <w:rStyle w:val="CommentReference"/>
          <w:rFonts w:ascii="Times New Roman" w:hAnsi="Times New Roman" w:cs="Times New Roman"/>
          <w:noProof/>
          <w:sz w:val="24"/>
          <w:szCs w:val="24"/>
        </w:rPr>
      </w:pPr>
      <w:r w:rsidRPr="00575CC5">
        <w:rPr>
          <w:rFonts w:ascii="Times New Roman" w:hAnsi="Times New Roman" w:cs="Times New Roman"/>
          <w:i/>
          <w:iCs/>
          <w:noProof/>
          <w:sz w:val="24"/>
          <w:szCs w:val="24"/>
        </w:rPr>
        <w:t>Figure </w:t>
      </w:r>
      <w:r w:rsidR="00545C2B">
        <w:rPr>
          <w:rFonts w:ascii="Times New Roman" w:hAnsi="Times New Roman" w:cs="Times New Roman"/>
          <w:i/>
          <w:iCs/>
          <w:noProof/>
          <w:sz w:val="24"/>
          <w:szCs w:val="24"/>
        </w:rPr>
        <w:t>7</w:t>
      </w:r>
      <w:r w:rsidR="00FA10DC" w:rsidRPr="00575CC5">
        <w:rPr>
          <w:rFonts w:ascii="Times New Roman" w:hAnsi="Times New Roman" w:cs="Times New Roman"/>
          <w:i/>
          <w:iCs/>
          <w:noProof/>
          <w:sz w:val="24"/>
          <w:szCs w:val="24"/>
        </w:rPr>
        <w:t> </w:t>
      </w:r>
      <w:r w:rsidRPr="00575CC5">
        <w:rPr>
          <w:rFonts w:ascii="Times New Roman" w:hAnsi="Times New Roman" w:cs="Times New Roman"/>
          <w:i/>
          <w:iCs/>
          <w:noProof/>
          <w:sz w:val="24"/>
          <w:szCs w:val="24"/>
        </w:rPr>
        <w:t>– Effect of Directive (EU) 2018/1673 on the protection of private and family life and personal data</w:t>
      </w:r>
      <w:r w:rsidRPr="00575CC5">
        <w:rPr>
          <w:rFonts w:ascii="Times New Roman" w:hAnsi="Times New Roman" w:cs="Times New Roman"/>
          <w:noProof/>
          <w:sz w:val="24"/>
          <w:szCs w:val="24"/>
          <w:lang w:val="en-IE"/>
        </w:rPr>
        <w:t> </w:t>
      </w:r>
      <w:r w:rsidRPr="00575CC5">
        <w:rPr>
          <w:rStyle w:val="CommentReference"/>
          <w:rFonts w:ascii="Times New Roman" w:hAnsi="Times New Roman" w:cs="Times New Roman"/>
          <w:noProof/>
          <w:sz w:val="24"/>
          <w:szCs w:val="24"/>
        </w:rPr>
        <w:t xml:space="preserve"> </w:t>
      </w:r>
    </w:p>
    <w:p w14:paraId="212E0755" w14:textId="5CA8E0E4" w:rsidR="00F9375C" w:rsidRPr="00575CC5" w:rsidRDefault="00F9375C" w:rsidP="00A56091">
      <w:pPr>
        <w:rPr>
          <w:rFonts w:ascii="Times New Roman" w:hAnsi="Times New Roman" w:cs="Times New Roman"/>
          <w:iCs/>
          <w:noProof/>
          <w:sz w:val="24"/>
          <w:szCs w:val="24"/>
        </w:rPr>
      </w:pPr>
      <w:r>
        <w:rPr>
          <w:rFonts w:ascii="Times New Roman" w:hAnsi="Times New Roman" w:cs="Times New Roman"/>
          <w:iCs/>
          <w:noProof/>
          <w:sz w:val="24"/>
          <w:szCs w:val="24"/>
          <w:lang w:eastAsia="en-GB"/>
        </w:rPr>
        <w:drawing>
          <wp:inline distT="0" distB="0" distL="0" distR="0" wp14:anchorId="55C874C7" wp14:editId="10576520">
            <wp:extent cx="5486400" cy="3200400"/>
            <wp:effectExtent l="0" t="0" r="0" b="0"/>
            <wp:docPr id="170171175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E3037CD" w14:textId="7A4F5580" w:rsidR="00174A94" w:rsidRPr="00575CC5" w:rsidRDefault="00174A94" w:rsidP="00174A94">
      <w:pPr>
        <w:jc w:val="both"/>
        <w:rPr>
          <w:rFonts w:ascii="Times New Roman" w:hAnsi="Times New Roman" w:cs="Times New Roman"/>
          <w:noProof/>
          <w:sz w:val="24"/>
          <w:szCs w:val="24"/>
          <w:lang w:val="en-IE"/>
        </w:rPr>
      </w:pPr>
      <w:bookmarkStart w:id="47" w:name="_Toc176207931"/>
      <w:bookmarkStart w:id="48" w:name="_Toc178101919"/>
      <w:r w:rsidRPr="00575CC5">
        <w:rPr>
          <w:rFonts w:ascii="Times New Roman" w:hAnsi="Times New Roman" w:cs="Times New Roman"/>
          <w:noProof/>
          <w:sz w:val="24"/>
          <w:szCs w:val="24"/>
          <w:lang w:val="en-IE"/>
        </w:rPr>
        <w:t>When asked about the proportionality of the penalties laid down in Article 5 of Directive (EU) 2018/1673, all judicial authorities considered them appropriate to the nature and gravity of the offences. By contrast, on questions concerning the presumption of innocence and the rights of suspects and accused persons both judicial authorities and law enforcement agencies either reported no data or did not identify any effects.</w:t>
      </w:r>
    </w:p>
    <w:p w14:paraId="01155A30" w14:textId="2DF580B7" w:rsidR="00174A94" w:rsidRDefault="00174A94" w:rsidP="0033502B">
      <w:pPr>
        <w:jc w:val="center"/>
        <w:rPr>
          <w:rFonts w:ascii="Times New Roman" w:hAnsi="Times New Roman" w:cs="Times New Roman"/>
          <w:noProof/>
          <w:sz w:val="24"/>
          <w:szCs w:val="24"/>
          <w:lang w:val="en-IE"/>
        </w:rPr>
      </w:pPr>
      <w:r w:rsidRPr="00575CC5">
        <w:rPr>
          <w:rFonts w:ascii="Times New Roman" w:hAnsi="Times New Roman" w:cs="Times New Roman"/>
          <w:i/>
          <w:iCs/>
          <w:noProof/>
          <w:sz w:val="24"/>
          <w:szCs w:val="24"/>
        </w:rPr>
        <w:t>Figure</w:t>
      </w:r>
      <w:r w:rsidR="0030087F" w:rsidRPr="00575CC5">
        <w:rPr>
          <w:rFonts w:ascii="Times New Roman" w:hAnsi="Times New Roman" w:cs="Times New Roman"/>
          <w:i/>
          <w:iCs/>
          <w:noProof/>
          <w:sz w:val="24"/>
          <w:szCs w:val="24"/>
        </w:rPr>
        <w:t> </w:t>
      </w:r>
      <w:r w:rsidR="00545C2B">
        <w:rPr>
          <w:rFonts w:ascii="Times New Roman" w:hAnsi="Times New Roman" w:cs="Times New Roman"/>
          <w:i/>
          <w:iCs/>
          <w:noProof/>
          <w:sz w:val="24"/>
          <w:szCs w:val="24"/>
        </w:rPr>
        <w:t>8</w:t>
      </w:r>
      <w:r w:rsidR="0030087F" w:rsidRPr="00575CC5">
        <w:rPr>
          <w:rFonts w:ascii="Times New Roman" w:hAnsi="Times New Roman" w:cs="Times New Roman"/>
          <w:i/>
          <w:iCs/>
          <w:noProof/>
          <w:sz w:val="24"/>
          <w:szCs w:val="24"/>
        </w:rPr>
        <w:t>:</w:t>
      </w:r>
      <w:r w:rsidRPr="00575CC5">
        <w:rPr>
          <w:rFonts w:ascii="Times New Roman" w:hAnsi="Times New Roman" w:cs="Times New Roman"/>
          <w:i/>
          <w:iCs/>
          <w:noProof/>
          <w:sz w:val="24"/>
          <w:szCs w:val="24"/>
        </w:rPr>
        <w:t xml:space="preserve"> Effect of Directive (EU) 2018/1673 on upholding the presumption of innocence and ensuring the rights of suspects and accused persons</w:t>
      </w:r>
      <w:bookmarkEnd w:id="47"/>
      <w:bookmarkEnd w:id="48"/>
    </w:p>
    <w:p w14:paraId="5533FCB6" w14:textId="2FC1B7B2" w:rsidR="00F2532A" w:rsidRPr="00A56091" w:rsidRDefault="000B0D36" w:rsidP="00A56091">
      <w:pPr>
        <w:rPr>
          <w:rFonts w:ascii="Times New Roman" w:hAnsi="Times New Roman" w:cs="Times New Roman"/>
          <w:noProof/>
          <w:sz w:val="24"/>
          <w:szCs w:val="24"/>
          <w:lang w:val="en-IE"/>
        </w:rPr>
      </w:pPr>
      <w:r>
        <w:rPr>
          <w:rFonts w:ascii="Times New Roman" w:hAnsi="Times New Roman" w:cs="Times New Roman"/>
          <w:noProof/>
          <w:sz w:val="24"/>
          <w:szCs w:val="24"/>
          <w:lang w:eastAsia="en-GB"/>
        </w:rPr>
        <w:drawing>
          <wp:inline distT="0" distB="0" distL="0" distR="0" wp14:anchorId="35B0F31E" wp14:editId="09FF01DD">
            <wp:extent cx="5486400" cy="3200400"/>
            <wp:effectExtent l="0" t="0" r="0" b="0"/>
            <wp:docPr id="59954910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3361B03" w14:textId="41C45490" w:rsidR="00367DE8" w:rsidRDefault="00367DE8" w:rsidP="00367DE8">
      <w:pPr>
        <w:jc w:val="center"/>
        <w:rPr>
          <w:rFonts w:ascii="Times New Roman" w:hAnsi="Times New Roman" w:cs="Times New Roman"/>
          <w:noProof/>
          <w:lang w:val="en-IE"/>
        </w:rPr>
      </w:pPr>
      <w:r w:rsidRPr="00575CC5">
        <w:rPr>
          <w:rFonts w:ascii="Times New Roman" w:hAnsi="Times New Roman" w:cs="Times New Roman"/>
          <w:i/>
          <w:iCs/>
          <w:noProof/>
        </w:rPr>
        <w:t>Figure </w:t>
      </w:r>
      <w:r w:rsidR="00545C2B">
        <w:rPr>
          <w:rFonts w:ascii="Times New Roman" w:hAnsi="Times New Roman" w:cs="Times New Roman"/>
          <w:i/>
          <w:iCs/>
          <w:noProof/>
        </w:rPr>
        <w:t>9</w:t>
      </w:r>
      <w:r w:rsidRPr="00575CC5">
        <w:rPr>
          <w:rFonts w:ascii="Times New Roman" w:hAnsi="Times New Roman" w:cs="Times New Roman"/>
          <w:i/>
          <w:iCs/>
          <w:noProof/>
        </w:rPr>
        <w:t xml:space="preserve">: Concerns </w:t>
      </w:r>
      <w:r w:rsidR="00D262CD">
        <w:rPr>
          <w:rFonts w:ascii="Times New Roman" w:hAnsi="Times New Roman" w:cs="Times New Roman"/>
          <w:i/>
          <w:iCs/>
          <w:noProof/>
        </w:rPr>
        <w:t>about</w:t>
      </w:r>
      <w:r w:rsidR="00D262CD" w:rsidRPr="00575CC5">
        <w:rPr>
          <w:rFonts w:ascii="Times New Roman" w:hAnsi="Times New Roman" w:cs="Times New Roman"/>
          <w:i/>
          <w:iCs/>
          <w:noProof/>
        </w:rPr>
        <w:t xml:space="preserve"> </w:t>
      </w:r>
      <w:r w:rsidRPr="00575CC5">
        <w:rPr>
          <w:rFonts w:ascii="Times New Roman" w:hAnsi="Times New Roman" w:cs="Times New Roman"/>
          <w:i/>
          <w:iCs/>
          <w:noProof/>
        </w:rPr>
        <w:t>fundamental rights of self- laundering suspects, based on stakeholder</w:t>
      </w:r>
      <w:r w:rsidR="006232F1">
        <w:rPr>
          <w:rFonts w:ascii="Times New Roman" w:hAnsi="Times New Roman" w:cs="Times New Roman"/>
          <w:i/>
          <w:iCs/>
          <w:noProof/>
        </w:rPr>
        <w:t>s’</w:t>
      </w:r>
      <w:r w:rsidRPr="00575CC5">
        <w:rPr>
          <w:rFonts w:ascii="Times New Roman" w:hAnsi="Times New Roman" w:cs="Times New Roman"/>
          <w:i/>
          <w:iCs/>
          <w:noProof/>
        </w:rPr>
        <w:t xml:space="preserve"> input</w:t>
      </w:r>
      <w:r w:rsidRPr="00575CC5">
        <w:rPr>
          <w:rFonts w:ascii="Times New Roman" w:hAnsi="Times New Roman" w:cs="Times New Roman"/>
          <w:noProof/>
          <w:lang w:val="en-IE"/>
        </w:rPr>
        <w:t> </w:t>
      </w:r>
    </w:p>
    <w:p w14:paraId="289EA083" w14:textId="3F7C7DDC" w:rsidR="00174A94" w:rsidRPr="00575CC5" w:rsidRDefault="00174A94" w:rsidP="00367DE8">
      <w:pPr>
        <w:jc w:val="center"/>
        <w:rPr>
          <w:rFonts w:ascii="Times New Roman" w:hAnsi="Times New Roman" w:cs="Times New Roman"/>
          <w:noProof/>
        </w:rPr>
      </w:pPr>
      <w:r w:rsidRPr="00575CC5">
        <w:rPr>
          <w:rFonts w:ascii="Times New Roman" w:hAnsi="Times New Roman" w:cs="Times New Roman"/>
          <w:noProof/>
          <w:sz w:val="24"/>
          <w:szCs w:val="24"/>
          <w:lang w:eastAsia="en-GB"/>
        </w:rPr>
        <w:drawing>
          <wp:inline distT="0" distB="0" distL="0" distR="0" wp14:anchorId="25F547A7" wp14:editId="4DCA8644">
            <wp:extent cx="4898572" cy="1638795"/>
            <wp:effectExtent l="0" t="0" r="16510" b="0"/>
            <wp:docPr id="57" name="Chart 57">
              <a:extLst xmlns:a="http://schemas.openxmlformats.org/drawingml/2006/main">
                <a:ext uri="{FF2B5EF4-FFF2-40B4-BE49-F238E27FC236}">
                  <a16:creationId xmlns:a16="http://schemas.microsoft.com/office/drawing/2014/main" id="{634ED6A1-D6B6-05C1-C96D-84B1D1C6A6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5815004" w14:textId="021B3BE2" w:rsidR="00267F22" w:rsidRDefault="009B50B9" w:rsidP="009B50B9">
      <w:pPr>
        <w:jc w:val="both"/>
        <w:rPr>
          <w:rFonts w:ascii="Times New Roman" w:hAnsi="Times New Roman" w:cs="Times New Roman"/>
          <w:noProof/>
          <w:sz w:val="24"/>
          <w:szCs w:val="24"/>
        </w:rPr>
      </w:pPr>
      <w:r w:rsidRPr="00575CC5">
        <w:rPr>
          <w:rFonts w:ascii="Times New Roman" w:hAnsi="Times New Roman" w:cs="Times New Roman"/>
          <w:noProof/>
          <w:sz w:val="24"/>
          <w:szCs w:val="24"/>
        </w:rPr>
        <w:t xml:space="preserve">In conclusion, while </w:t>
      </w:r>
      <w:r w:rsidR="008403C0">
        <w:rPr>
          <w:rFonts w:ascii="Times New Roman" w:hAnsi="Times New Roman" w:cs="Times New Roman"/>
          <w:noProof/>
          <w:sz w:val="24"/>
          <w:szCs w:val="24"/>
        </w:rPr>
        <w:t xml:space="preserve">some </w:t>
      </w:r>
      <w:r w:rsidRPr="00575CC5">
        <w:rPr>
          <w:rFonts w:ascii="Times New Roman" w:hAnsi="Times New Roman" w:cs="Times New Roman"/>
          <w:noProof/>
          <w:sz w:val="24"/>
          <w:szCs w:val="24"/>
        </w:rPr>
        <w:t>stakeholders</w:t>
      </w:r>
      <w:r w:rsidR="008403C0">
        <w:rPr>
          <w:rFonts w:ascii="Times New Roman" w:hAnsi="Times New Roman" w:cs="Times New Roman"/>
          <w:noProof/>
          <w:sz w:val="24"/>
          <w:szCs w:val="24"/>
        </w:rPr>
        <w:t>, in particular representatives of civil society organisations and academia,</w:t>
      </w:r>
      <w:r w:rsidRPr="00575CC5">
        <w:rPr>
          <w:rFonts w:ascii="Times New Roman" w:hAnsi="Times New Roman" w:cs="Times New Roman"/>
          <w:noProof/>
          <w:sz w:val="24"/>
          <w:szCs w:val="24"/>
        </w:rPr>
        <w:t xml:space="preserve"> have voiced concerns regarding the presumption of innocence when applying the stand-alone money laundering offence, the principle of double jeopardy (</w:t>
      </w:r>
      <w:r w:rsidRPr="00575CC5">
        <w:rPr>
          <w:rFonts w:ascii="Times New Roman" w:hAnsi="Times New Roman" w:cs="Times New Roman"/>
          <w:i/>
          <w:iCs/>
          <w:noProof/>
          <w:sz w:val="24"/>
          <w:szCs w:val="24"/>
        </w:rPr>
        <w:t>ne bis in idem</w:t>
      </w:r>
      <w:r w:rsidRPr="00575CC5">
        <w:rPr>
          <w:rFonts w:ascii="Times New Roman" w:hAnsi="Times New Roman" w:cs="Times New Roman"/>
          <w:noProof/>
          <w:sz w:val="24"/>
          <w:szCs w:val="24"/>
        </w:rPr>
        <w:t>) in cases of self-laundering</w:t>
      </w:r>
      <w:r w:rsidRPr="00575CC5">
        <w:rPr>
          <w:rStyle w:val="FootnoteReference"/>
          <w:rFonts w:ascii="Times New Roman" w:hAnsi="Times New Roman" w:cs="Times New Roman"/>
          <w:noProof/>
          <w:sz w:val="24"/>
          <w:szCs w:val="24"/>
        </w:rPr>
        <w:footnoteReference w:id="73"/>
      </w:r>
      <w:r w:rsidRPr="00575CC5">
        <w:rPr>
          <w:rFonts w:ascii="Times New Roman" w:hAnsi="Times New Roman" w:cs="Times New Roman"/>
          <w:noProof/>
          <w:sz w:val="24"/>
          <w:szCs w:val="24"/>
        </w:rPr>
        <w:t xml:space="preserve">, and the clarity and proportionality of </w:t>
      </w:r>
      <w:r w:rsidR="00951A62">
        <w:rPr>
          <w:rFonts w:ascii="Times New Roman" w:hAnsi="Times New Roman" w:cs="Times New Roman"/>
          <w:noProof/>
          <w:sz w:val="24"/>
          <w:szCs w:val="24"/>
        </w:rPr>
        <w:t xml:space="preserve">the definition of offences and </w:t>
      </w:r>
      <w:r w:rsidRPr="00575CC5">
        <w:rPr>
          <w:rFonts w:ascii="Times New Roman" w:hAnsi="Times New Roman" w:cs="Times New Roman"/>
          <w:noProof/>
          <w:sz w:val="24"/>
          <w:szCs w:val="24"/>
        </w:rPr>
        <w:t>penalties,</w:t>
      </w:r>
      <w:r w:rsidR="00047A98">
        <w:rPr>
          <w:rFonts w:ascii="Times New Roman" w:hAnsi="Times New Roman" w:cs="Times New Roman"/>
          <w:noProof/>
          <w:sz w:val="24"/>
          <w:szCs w:val="24"/>
        </w:rPr>
        <w:t xml:space="preserve"> </w:t>
      </w:r>
      <w:r w:rsidR="002D4155">
        <w:rPr>
          <w:rFonts w:ascii="Times New Roman" w:hAnsi="Times New Roman" w:cs="Times New Roman"/>
          <w:noProof/>
          <w:sz w:val="24"/>
          <w:szCs w:val="24"/>
        </w:rPr>
        <w:t>other</w:t>
      </w:r>
      <w:r w:rsidR="00047A98">
        <w:rPr>
          <w:rFonts w:ascii="Times New Roman" w:hAnsi="Times New Roman" w:cs="Times New Roman"/>
          <w:noProof/>
          <w:sz w:val="24"/>
          <w:szCs w:val="24"/>
        </w:rPr>
        <w:t xml:space="preserve"> stakeholders</w:t>
      </w:r>
      <w:r w:rsidR="000B30D0">
        <w:rPr>
          <w:rFonts w:ascii="Times New Roman" w:hAnsi="Times New Roman" w:cs="Times New Roman"/>
          <w:noProof/>
          <w:sz w:val="24"/>
          <w:szCs w:val="24"/>
        </w:rPr>
        <w:t xml:space="preserve">, in particular </w:t>
      </w:r>
      <w:r w:rsidR="0058045D">
        <w:rPr>
          <w:rFonts w:ascii="Times New Roman" w:hAnsi="Times New Roman" w:cs="Times New Roman"/>
          <w:noProof/>
          <w:sz w:val="24"/>
          <w:szCs w:val="24"/>
        </w:rPr>
        <w:t>Member States’ authorities and EU/international bodies</w:t>
      </w:r>
      <w:r w:rsidR="000B30D0">
        <w:rPr>
          <w:rFonts w:ascii="Times New Roman" w:hAnsi="Times New Roman" w:cs="Times New Roman"/>
          <w:noProof/>
          <w:sz w:val="24"/>
          <w:szCs w:val="24"/>
        </w:rPr>
        <w:t>, do not appear to identify major issues or do not have relevant data on this matter.</w:t>
      </w:r>
      <w:r w:rsidR="0090311A" w:rsidRPr="00575CC5">
        <w:rPr>
          <w:rFonts w:ascii="Times New Roman" w:hAnsi="Times New Roman" w:cs="Times New Roman"/>
          <w:noProof/>
          <w:sz w:val="24"/>
          <w:szCs w:val="24"/>
        </w:rPr>
        <w:t xml:space="preserve"> </w:t>
      </w:r>
    </w:p>
    <w:p w14:paraId="6B434F8B" w14:textId="1C0C6105" w:rsidR="00760501" w:rsidRPr="00575CC5" w:rsidRDefault="006F00A0" w:rsidP="009B50B9">
      <w:pPr>
        <w:jc w:val="both"/>
        <w:rPr>
          <w:rFonts w:ascii="Times New Roman" w:hAnsi="Times New Roman" w:cs="Times New Roman"/>
          <w:noProof/>
          <w:sz w:val="24"/>
          <w:szCs w:val="24"/>
        </w:rPr>
      </w:pPr>
      <w:r>
        <w:rPr>
          <w:rFonts w:ascii="Times New Roman" w:hAnsi="Times New Roman" w:cs="Times New Roman"/>
          <w:noProof/>
          <w:sz w:val="24"/>
          <w:szCs w:val="24"/>
        </w:rPr>
        <w:t>W</w:t>
      </w:r>
      <w:r w:rsidR="00760501" w:rsidRPr="00575CC5">
        <w:rPr>
          <w:rFonts w:ascii="Times New Roman" w:hAnsi="Times New Roman" w:cs="Times New Roman"/>
          <w:noProof/>
          <w:sz w:val="24"/>
          <w:szCs w:val="24"/>
          <w:lang w:val="en-IE"/>
        </w:rPr>
        <w:t xml:space="preserve">hile the Directive does not contain specific provisions on procedural rights, such rights are ensured through horizontal rules set out in </w:t>
      </w:r>
      <w:r>
        <w:rPr>
          <w:rFonts w:ascii="Times New Roman" w:hAnsi="Times New Roman" w:cs="Times New Roman"/>
          <w:noProof/>
          <w:sz w:val="24"/>
          <w:szCs w:val="24"/>
          <w:lang w:val="en-IE"/>
        </w:rPr>
        <w:t>the six EU procedural rights directives</w:t>
      </w:r>
      <w:r w:rsidR="00CC2A45" w:rsidRPr="00575CC5">
        <w:rPr>
          <w:rFonts w:ascii="Times New Roman" w:hAnsi="Times New Roman" w:cs="Times New Roman"/>
          <w:noProof/>
          <w:sz w:val="24"/>
          <w:szCs w:val="24"/>
          <w:lang w:val="en-IE"/>
        </w:rPr>
        <w:t xml:space="preserve">, </w:t>
      </w:r>
      <w:r w:rsidR="001A0160">
        <w:rPr>
          <w:rFonts w:ascii="Times New Roman" w:hAnsi="Times New Roman" w:cs="Times New Roman"/>
          <w:noProof/>
          <w:sz w:val="24"/>
          <w:szCs w:val="24"/>
          <w:lang w:val="en-IE"/>
        </w:rPr>
        <w:t>in</w:t>
      </w:r>
      <w:r w:rsidR="001A0160" w:rsidRPr="00575CC5">
        <w:rPr>
          <w:rFonts w:ascii="Times New Roman" w:hAnsi="Times New Roman" w:cs="Times New Roman"/>
          <w:noProof/>
          <w:sz w:val="24"/>
          <w:szCs w:val="24"/>
          <w:lang w:val="en-IE"/>
        </w:rPr>
        <w:t xml:space="preserve"> </w:t>
      </w:r>
      <w:r w:rsidR="009B50B9" w:rsidRPr="00575CC5">
        <w:rPr>
          <w:rFonts w:ascii="Times New Roman" w:hAnsi="Times New Roman" w:cs="Times New Roman"/>
          <w:noProof/>
          <w:sz w:val="24"/>
          <w:szCs w:val="24"/>
        </w:rPr>
        <w:t xml:space="preserve">the Charter of Fundamental Rights </w:t>
      </w:r>
      <w:r w:rsidR="001A0160">
        <w:rPr>
          <w:rFonts w:ascii="Times New Roman" w:hAnsi="Times New Roman" w:cs="Times New Roman"/>
          <w:noProof/>
          <w:sz w:val="24"/>
          <w:szCs w:val="24"/>
        </w:rPr>
        <w:t>of the European Union and in</w:t>
      </w:r>
      <w:r w:rsidR="009B50B9" w:rsidRPr="00575CC5">
        <w:rPr>
          <w:rFonts w:ascii="Times New Roman" w:hAnsi="Times New Roman" w:cs="Times New Roman"/>
          <w:noProof/>
          <w:sz w:val="24"/>
          <w:szCs w:val="24"/>
        </w:rPr>
        <w:t xml:space="preserve"> the European Convention of Human Rights. </w:t>
      </w:r>
      <w:r w:rsidR="00B82B3F" w:rsidRPr="76D071DD">
        <w:rPr>
          <w:rFonts w:ascii="Times New Roman" w:hAnsi="Times New Roman" w:cs="Times New Roman"/>
          <w:noProof/>
          <w:sz w:val="24"/>
          <w:szCs w:val="24"/>
        </w:rPr>
        <w:t xml:space="preserve">The application and interpretation of national </w:t>
      </w:r>
      <w:r w:rsidR="009B50B9" w:rsidRPr="00575CC5">
        <w:rPr>
          <w:rFonts w:ascii="Times New Roman" w:hAnsi="Times New Roman" w:cs="Times New Roman"/>
          <w:noProof/>
          <w:sz w:val="24"/>
          <w:szCs w:val="24"/>
        </w:rPr>
        <w:t xml:space="preserve">rules </w:t>
      </w:r>
      <w:r w:rsidR="0054706A">
        <w:rPr>
          <w:rFonts w:ascii="Times New Roman" w:hAnsi="Times New Roman" w:cs="Times New Roman"/>
          <w:noProof/>
          <w:sz w:val="24"/>
          <w:szCs w:val="24"/>
        </w:rPr>
        <w:t>that transpose the Directive is</w:t>
      </w:r>
      <w:r w:rsidR="009B50B9" w:rsidRPr="00575CC5">
        <w:rPr>
          <w:rFonts w:ascii="Times New Roman" w:hAnsi="Times New Roman" w:cs="Times New Roman"/>
          <w:noProof/>
          <w:sz w:val="24"/>
          <w:szCs w:val="24"/>
        </w:rPr>
        <w:t xml:space="preserve"> subject to review of national courts that have to ensure compliance with </w:t>
      </w:r>
      <w:r w:rsidR="0054706A">
        <w:rPr>
          <w:rFonts w:ascii="Times New Roman" w:hAnsi="Times New Roman" w:cs="Times New Roman"/>
          <w:noProof/>
          <w:sz w:val="24"/>
          <w:szCs w:val="24"/>
        </w:rPr>
        <w:t xml:space="preserve">the </w:t>
      </w:r>
      <w:r w:rsidR="009B50B9" w:rsidRPr="00575CC5">
        <w:rPr>
          <w:rFonts w:ascii="Times New Roman" w:hAnsi="Times New Roman" w:cs="Times New Roman"/>
          <w:noProof/>
          <w:sz w:val="24"/>
          <w:szCs w:val="24"/>
        </w:rPr>
        <w:t>fundamental rights and freedoms</w:t>
      </w:r>
      <w:r w:rsidR="000F659D">
        <w:rPr>
          <w:rFonts w:ascii="Times New Roman" w:hAnsi="Times New Roman" w:cs="Times New Roman"/>
          <w:noProof/>
          <w:sz w:val="24"/>
          <w:szCs w:val="24"/>
        </w:rPr>
        <w:t xml:space="preserve"> </w:t>
      </w:r>
      <w:r w:rsidR="000F659D" w:rsidRPr="76D071DD">
        <w:rPr>
          <w:rFonts w:ascii="Times New Roman" w:hAnsi="Times New Roman" w:cs="Times New Roman"/>
          <w:noProof/>
          <w:sz w:val="24"/>
          <w:szCs w:val="24"/>
        </w:rPr>
        <w:t>enshrined in above-mentioned instruments</w:t>
      </w:r>
      <w:r w:rsidR="009B50B9" w:rsidRPr="00575CC5">
        <w:rPr>
          <w:rFonts w:ascii="Times New Roman" w:hAnsi="Times New Roman" w:cs="Times New Roman"/>
          <w:noProof/>
          <w:sz w:val="24"/>
          <w:szCs w:val="24"/>
        </w:rPr>
        <w:t>.</w:t>
      </w:r>
    </w:p>
    <w:p w14:paraId="2F312D0E" w14:textId="44F7B9DC" w:rsidR="009B50B9" w:rsidRPr="00575CC5" w:rsidRDefault="000F659D" w:rsidP="00161031">
      <w:pPr>
        <w:jc w:val="both"/>
        <w:rPr>
          <w:rFonts w:ascii="Times New Roman" w:hAnsi="Times New Roman" w:cs="Times New Roman"/>
          <w:i/>
          <w:iCs/>
          <w:noProof/>
        </w:rPr>
      </w:pPr>
      <w:r>
        <w:rPr>
          <w:rFonts w:ascii="Times New Roman" w:hAnsi="Times New Roman" w:cs="Times New Roman"/>
          <w:noProof/>
          <w:sz w:val="24"/>
          <w:szCs w:val="24"/>
        </w:rPr>
        <w:t>T</w:t>
      </w:r>
      <w:r w:rsidRPr="00575CC5">
        <w:rPr>
          <w:rFonts w:ascii="Times New Roman" w:hAnsi="Times New Roman" w:cs="Times New Roman"/>
          <w:noProof/>
          <w:sz w:val="24"/>
          <w:szCs w:val="24"/>
        </w:rPr>
        <w:t xml:space="preserve">he </w:t>
      </w:r>
      <w:r w:rsidR="009B50B9" w:rsidRPr="00575CC5">
        <w:rPr>
          <w:rFonts w:ascii="Times New Roman" w:hAnsi="Times New Roman" w:cs="Times New Roman"/>
          <w:noProof/>
          <w:sz w:val="24"/>
          <w:szCs w:val="24"/>
        </w:rPr>
        <w:t xml:space="preserve">Commission will continue to assess any possible </w:t>
      </w:r>
      <w:r w:rsidR="00B3279D">
        <w:rPr>
          <w:rFonts w:ascii="Times New Roman" w:hAnsi="Times New Roman" w:cs="Times New Roman"/>
          <w:noProof/>
          <w:sz w:val="24"/>
          <w:szCs w:val="24"/>
        </w:rPr>
        <w:t>problem associated</w:t>
      </w:r>
      <w:r w:rsidR="00B3279D" w:rsidRPr="00575CC5">
        <w:rPr>
          <w:rFonts w:ascii="Times New Roman" w:hAnsi="Times New Roman" w:cs="Times New Roman"/>
          <w:noProof/>
          <w:sz w:val="24"/>
          <w:szCs w:val="24"/>
        </w:rPr>
        <w:t xml:space="preserve"> </w:t>
      </w:r>
      <w:r w:rsidR="009B50B9" w:rsidRPr="00575CC5">
        <w:rPr>
          <w:rFonts w:ascii="Times New Roman" w:hAnsi="Times New Roman" w:cs="Times New Roman"/>
          <w:noProof/>
          <w:sz w:val="24"/>
          <w:szCs w:val="24"/>
        </w:rPr>
        <w:t>with fundamental rights in the application of the Directive</w:t>
      </w:r>
      <w:r w:rsidR="009B6022">
        <w:rPr>
          <w:rFonts w:ascii="Times New Roman" w:hAnsi="Times New Roman" w:cs="Times New Roman"/>
          <w:noProof/>
          <w:sz w:val="24"/>
          <w:szCs w:val="24"/>
        </w:rPr>
        <w:t xml:space="preserve"> </w:t>
      </w:r>
      <w:r w:rsidR="009B6022" w:rsidRPr="76D071DD">
        <w:rPr>
          <w:rFonts w:ascii="Times New Roman" w:hAnsi="Times New Roman" w:cs="Times New Roman"/>
          <w:noProof/>
          <w:sz w:val="24"/>
          <w:szCs w:val="24"/>
        </w:rPr>
        <w:t>as part of its continuous monitoring activities</w:t>
      </w:r>
      <w:r w:rsidR="009B50B9" w:rsidRPr="00575CC5">
        <w:rPr>
          <w:rFonts w:ascii="Times New Roman" w:hAnsi="Times New Roman" w:cs="Times New Roman"/>
          <w:noProof/>
          <w:sz w:val="24"/>
          <w:szCs w:val="24"/>
        </w:rPr>
        <w:t>.</w:t>
      </w:r>
    </w:p>
    <w:p w14:paraId="6BC56E54" w14:textId="6AA00AF0" w:rsidR="00147D71" w:rsidRPr="009A39FA" w:rsidRDefault="00147D71" w:rsidP="00B21396">
      <w:pPr>
        <w:pStyle w:val="Heading1"/>
        <w:numPr>
          <w:ilvl w:val="1"/>
          <w:numId w:val="3"/>
        </w:numPr>
        <w:rPr>
          <w:bCs/>
          <w:smallCaps w:val="0"/>
          <w:noProof/>
          <w:szCs w:val="24"/>
        </w:rPr>
      </w:pPr>
      <w:bookmarkStart w:id="49" w:name="_Toc82789916"/>
      <w:bookmarkStart w:id="50" w:name="_Toc223439258"/>
      <w:r w:rsidRPr="009A39FA">
        <w:rPr>
          <w:bCs/>
          <w:smallCaps w:val="0"/>
          <w:noProof/>
          <w:szCs w:val="24"/>
        </w:rPr>
        <w:t>Is the intervention still relevant?</w:t>
      </w:r>
      <w:bookmarkEnd w:id="49"/>
      <w:bookmarkEnd w:id="50"/>
    </w:p>
    <w:p w14:paraId="3241BCF8" w14:textId="61575B75" w:rsidR="00147D71" w:rsidRPr="00575CC5" w:rsidRDefault="00B3279D" w:rsidP="00174A94">
      <w:pPr>
        <w:jc w:val="both"/>
        <w:rPr>
          <w:rFonts w:ascii="Times New Roman" w:hAnsi="Times New Roman" w:cs="Times New Roman"/>
          <w:iCs/>
          <w:noProof/>
          <w:sz w:val="24"/>
          <w:szCs w:val="24"/>
          <w:lang w:val="en-IE"/>
        </w:rPr>
      </w:pPr>
      <w:r>
        <w:rPr>
          <w:rFonts w:ascii="Times New Roman" w:hAnsi="Times New Roman" w:cs="Times New Roman"/>
          <w:iCs/>
          <w:noProof/>
          <w:sz w:val="24"/>
          <w:szCs w:val="24"/>
          <w:lang w:val="en-IE"/>
        </w:rPr>
        <w:t>The r</w:t>
      </w:r>
      <w:r w:rsidR="00174A94" w:rsidRPr="00575CC5">
        <w:rPr>
          <w:rFonts w:ascii="Times New Roman" w:hAnsi="Times New Roman" w:cs="Times New Roman"/>
          <w:iCs/>
          <w:noProof/>
          <w:sz w:val="24"/>
          <w:szCs w:val="24"/>
          <w:lang w:val="en-IE"/>
        </w:rPr>
        <w:t xml:space="preserve">elevance </w:t>
      </w:r>
      <w:r>
        <w:rPr>
          <w:rFonts w:ascii="Times New Roman" w:hAnsi="Times New Roman" w:cs="Times New Roman"/>
          <w:iCs/>
          <w:noProof/>
          <w:sz w:val="24"/>
          <w:szCs w:val="24"/>
          <w:lang w:val="en-IE"/>
        </w:rPr>
        <w:t xml:space="preserve">criterion </w:t>
      </w:r>
      <w:r w:rsidR="00174A94" w:rsidRPr="00575CC5">
        <w:rPr>
          <w:rFonts w:ascii="Times New Roman" w:hAnsi="Times New Roman" w:cs="Times New Roman"/>
          <w:iCs/>
          <w:noProof/>
          <w:sz w:val="24"/>
          <w:szCs w:val="24"/>
          <w:lang w:val="en-IE"/>
        </w:rPr>
        <w:t>examines whether the objectives of an intervention remain fit for purpose and adequately respond to the problems they were designed to address. In the case of Directive (EU) 2018/1673, this means assessing to what extent its objectives and measures continue to tackle the key challenges of money laundering and organised crime, while also addressing newly emerging risks and needs in this area</w:t>
      </w:r>
      <w:r w:rsidR="00414B49">
        <w:rPr>
          <w:rFonts w:ascii="Times New Roman" w:hAnsi="Times New Roman" w:cs="Times New Roman"/>
          <w:iCs/>
          <w:noProof/>
          <w:sz w:val="24"/>
          <w:szCs w:val="24"/>
          <w:lang w:val="en-IE"/>
        </w:rPr>
        <w:t>, and how</w:t>
      </w:r>
      <w:r w:rsidR="00AA1023">
        <w:rPr>
          <w:rFonts w:ascii="Times New Roman" w:hAnsi="Times New Roman" w:cs="Times New Roman"/>
          <w:noProof/>
          <w:sz w:val="24"/>
          <w:szCs w:val="24"/>
          <w:lang w:val="en-IE"/>
        </w:rPr>
        <w:t xml:space="preserve"> the provisions </w:t>
      </w:r>
      <w:r w:rsidR="008E45B8">
        <w:rPr>
          <w:rFonts w:ascii="Times New Roman" w:hAnsi="Times New Roman" w:cs="Times New Roman"/>
          <w:noProof/>
          <w:sz w:val="24"/>
          <w:szCs w:val="24"/>
          <w:lang w:val="en-IE"/>
        </w:rPr>
        <w:t xml:space="preserve">can </w:t>
      </w:r>
      <w:r w:rsidR="00AA1023">
        <w:rPr>
          <w:rFonts w:ascii="Times New Roman" w:hAnsi="Times New Roman" w:cs="Times New Roman"/>
          <w:noProof/>
          <w:sz w:val="24"/>
          <w:szCs w:val="24"/>
          <w:lang w:val="en-IE"/>
        </w:rPr>
        <w:t xml:space="preserve">be enhanced to effectively respond </w:t>
      </w:r>
      <w:r w:rsidR="00414B49">
        <w:rPr>
          <w:rFonts w:ascii="Times New Roman" w:hAnsi="Times New Roman" w:cs="Times New Roman"/>
          <w:iCs/>
          <w:noProof/>
          <w:sz w:val="24"/>
          <w:szCs w:val="24"/>
          <w:lang w:val="en-IE"/>
        </w:rPr>
        <w:t xml:space="preserve">to current and </w:t>
      </w:r>
      <w:r w:rsidR="00414B49" w:rsidRPr="00AA1023">
        <w:rPr>
          <w:rFonts w:ascii="Times New Roman" w:hAnsi="Times New Roman" w:cs="Times New Roman"/>
          <w:iCs/>
          <w:noProof/>
          <w:sz w:val="24"/>
          <w:szCs w:val="24"/>
        </w:rPr>
        <w:t>future threats</w:t>
      </w:r>
      <w:r w:rsidR="007D1DE4">
        <w:rPr>
          <w:rFonts w:ascii="Times New Roman" w:hAnsi="Times New Roman" w:cs="Times New Roman"/>
          <w:iCs/>
          <w:noProof/>
          <w:sz w:val="24"/>
          <w:szCs w:val="24"/>
        </w:rPr>
        <w:t xml:space="preserve">. The evaluation </w:t>
      </w:r>
      <w:r w:rsidR="008E45B8">
        <w:rPr>
          <w:rFonts w:ascii="Times New Roman" w:hAnsi="Times New Roman" w:cs="Times New Roman"/>
          <w:iCs/>
          <w:noProof/>
          <w:sz w:val="24"/>
          <w:szCs w:val="24"/>
        </w:rPr>
        <w:t>further</w:t>
      </w:r>
      <w:r w:rsidR="007D1DE4">
        <w:rPr>
          <w:rFonts w:ascii="Times New Roman" w:hAnsi="Times New Roman" w:cs="Times New Roman"/>
          <w:iCs/>
          <w:noProof/>
          <w:sz w:val="24"/>
          <w:szCs w:val="24"/>
        </w:rPr>
        <w:t xml:space="preserve"> aim</w:t>
      </w:r>
      <w:r w:rsidR="00AA11A4">
        <w:rPr>
          <w:rFonts w:ascii="Times New Roman" w:hAnsi="Times New Roman" w:cs="Times New Roman"/>
          <w:iCs/>
          <w:noProof/>
          <w:sz w:val="24"/>
          <w:szCs w:val="24"/>
        </w:rPr>
        <w:t>s</w:t>
      </w:r>
      <w:r>
        <w:rPr>
          <w:rFonts w:ascii="Times New Roman" w:hAnsi="Times New Roman" w:cs="Times New Roman"/>
          <w:iCs/>
          <w:noProof/>
          <w:sz w:val="24"/>
          <w:szCs w:val="24"/>
        </w:rPr>
        <w:t xml:space="preserve"> to</w:t>
      </w:r>
      <w:r w:rsidR="007D1DE4">
        <w:rPr>
          <w:rFonts w:ascii="Times New Roman" w:hAnsi="Times New Roman" w:cs="Times New Roman"/>
          <w:iCs/>
          <w:noProof/>
          <w:sz w:val="24"/>
          <w:szCs w:val="24"/>
        </w:rPr>
        <w:t xml:space="preserve"> </w:t>
      </w:r>
      <w:r w:rsidR="00616F3E">
        <w:rPr>
          <w:rFonts w:ascii="Times New Roman" w:hAnsi="Times New Roman" w:cs="Times New Roman"/>
          <w:iCs/>
          <w:noProof/>
          <w:sz w:val="24"/>
          <w:szCs w:val="24"/>
        </w:rPr>
        <w:t xml:space="preserve">identify any </w:t>
      </w:r>
      <w:r w:rsidR="00616F3E" w:rsidRPr="00616F3E">
        <w:rPr>
          <w:rFonts w:ascii="Times New Roman" w:hAnsi="Times New Roman" w:cs="Times New Roman"/>
          <w:iCs/>
          <w:noProof/>
          <w:sz w:val="24"/>
          <w:szCs w:val="24"/>
        </w:rPr>
        <w:t xml:space="preserve">provisions that might be considered obsolete or that should be </w:t>
      </w:r>
      <w:r w:rsidR="008E45B8">
        <w:rPr>
          <w:rFonts w:ascii="Times New Roman" w:hAnsi="Times New Roman" w:cs="Times New Roman"/>
          <w:iCs/>
          <w:noProof/>
          <w:sz w:val="24"/>
          <w:szCs w:val="24"/>
        </w:rPr>
        <w:t>adapted</w:t>
      </w:r>
      <w:r w:rsidR="008E45B8" w:rsidRPr="00616F3E">
        <w:rPr>
          <w:rFonts w:ascii="Times New Roman" w:hAnsi="Times New Roman" w:cs="Times New Roman"/>
          <w:iCs/>
          <w:noProof/>
          <w:sz w:val="24"/>
          <w:szCs w:val="24"/>
        </w:rPr>
        <w:t xml:space="preserve"> </w:t>
      </w:r>
      <w:r>
        <w:rPr>
          <w:rFonts w:ascii="Times New Roman" w:hAnsi="Times New Roman" w:cs="Times New Roman"/>
          <w:iCs/>
          <w:noProof/>
          <w:sz w:val="24"/>
          <w:szCs w:val="24"/>
        </w:rPr>
        <w:t>to take</w:t>
      </w:r>
      <w:r w:rsidR="00616F3E" w:rsidRPr="00616F3E">
        <w:rPr>
          <w:rFonts w:ascii="Times New Roman" w:hAnsi="Times New Roman" w:cs="Times New Roman"/>
          <w:iCs/>
          <w:noProof/>
          <w:sz w:val="24"/>
          <w:szCs w:val="24"/>
        </w:rPr>
        <w:t xml:space="preserve"> certain developments</w:t>
      </w:r>
      <w:r>
        <w:rPr>
          <w:rFonts w:ascii="Times New Roman" w:hAnsi="Times New Roman" w:cs="Times New Roman"/>
          <w:iCs/>
          <w:noProof/>
          <w:sz w:val="24"/>
          <w:szCs w:val="24"/>
        </w:rPr>
        <w:t xml:space="preserve"> into account</w:t>
      </w:r>
      <w:r w:rsidR="00174A94" w:rsidRPr="00575CC5">
        <w:rPr>
          <w:rFonts w:ascii="Times New Roman" w:hAnsi="Times New Roman" w:cs="Times New Roman"/>
          <w:iCs/>
          <w:noProof/>
          <w:sz w:val="24"/>
          <w:szCs w:val="24"/>
          <w:lang w:val="en-IE"/>
        </w:rPr>
        <w:t>.</w:t>
      </w:r>
      <w:r w:rsidR="00AA1023">
        <w:rPr>
          <w:rFonts w:ascii="Times New Roman" w:hAnsi="Times New Roman" w:cs="Times New Roman"/>
          <w:iCs/>
          <w:noProof/>
          <w:sz w:val="24"/>
          <w:szCs w:val="24"/>
          <w:lang w:val="en-IE"/>
        </w:rPr>
        <w:t xml:space="preserve"> </w:t>
      </w:r>
    </w:p>
    <w:p w14:paraId="5664353A" w14:textId="7CB2508A" w:rsidR="00182E5C" w:rsidRPr="00575CC5" w:rsidRDefault="00182E5C" w:rsidP="00161031">
      <w:pPr>
        <w:pStyle w:val="Heading3"/>
        <w:jc w:val="both"/>
        <w:rPr>
          <w:rFonts w:ascii="Times New Roman" w:hAnsi="Times New Roman" w:cs="Times New Roman"/>
          <w:b/>
          <w:bCs/>
          <w:noProof/>
          <w:color w:val="000000" w:themeColor="text1"/>
          <w:lang w:val="en-IE"/>
        </w:rPr>
      </w:pPr>
      <w:bookmarkStart w:id="51" w:name="_Toc223439259"/>
      <w:r w:rsidRPr="00575CC5">
        <w:rPr>
          <w:rFonts w:ascii="Times New Roman" w:hAnsi="Times New Roman" w:cs="Times New Roman"/>
          <w:b/>
          <w:bCs/>
          <w:noProof/>
          <w:color w:val="000000" w:themeColor="text1"/>
          <w:lang w:val="en-IE"/>
        </w:rPr>
        <w:t>4.3.1. Current and future threats and needs concerning the development of organised crime, particularly focusing on evolving money laundering activities</w:t>
      </w:r>
      <w:bookmarkEnd w:id="51"/>
    </w:p>
    <w:p w14:paraId="32CB4575" w14:textId="6B547CBE" w:rsidR="00182E5C" w:rsidRPr="00575CC5" w:rsidRDefault="00B3279D" w:rsidP="00161031">
      <w:pPr>
        <w:jc w:val="both"/>
        <w:rPr>
          <w:rFonts w:ascii="Times New Roman" w:eastAsia="Times New Roman" w:hAnsi="Times New Roman" w:cs="Times New Roman"/>
          <w:b/>
          <w:smallCaps/>
          <w:noProof/>
          <w:sz w:val="24"/>
          <w:szCs w:val="24"/>
        </w:rPr>
      </w:pPr>
      <w:r>
        <w:rPr>
          <w:rFonts w:ascii="Times New Roman" w:hAnsi="Times New Roman" w:cs="Times New Roman"/>
          <w:iCs/>
          <w:noProof/>
          <w:sz w:val="24"/>
          <w:szCs w:val="24"/>
          <w:lang w:val="en-IE"/>
        </w:rPr>
        <w:t>A</w:t>
      </w:r>
      <w:r w:rsidR="00182E5C" w:rsidRPr="00575CC5">
        <w:rPr>
          <w:rFonts w:ascii="Times New Roman" w:hAnsi="Times New Roman" w:cs="Times New Roman"/>
          <w:iCs/>
          <w:noProof/>
          <w:sz w:val="24"/>
          <w:szCs w:val="24"/>
          <w:lang w:val="en-IE"/>
        </w:rPr>
        <w:t xml:space="preserve">ccording to </w:t>
      </w:r>
      <w:r w:rsidR="002D20B0" w:rsidRPr="00575CC5">
        <w:rPr>
          <w:rFonts w:ascii="Times New Roman" w:hAnsi="Times New Roman" w:cs="Times New Roman"/>
          <w:iCs/>
          <w:noProof/>
          <w:sz w:val="24"/>
          <w:szCs w:val="24"/>
          <w:lang w:val="en-IE"/>
        </w:rPr>
        <w:t xml:space="preserve">some </w:t>
      </w:r>
      <w:r w:rsidR="00A5242F">
        <w:rPr>
          <w:rFonts w:ascii="Times New Roman" w:hAnsi="Times New Roman" w:cs="Times New Roman"/>
          <w:iCs/>
          <w:noProof/>
          <w:sz w:val="24"/>
          <w:szCs w:val="24"/>
          <w:lang w:val="en-IE"/>
        </w:rPr>
        <w:t>l</w:t>
      </w:r>
      <w:r w:rsidR="00A5242F" w:rsidRPr="00575CC5">
        <w:rPr>
          <w:rFonts w:ascii="Times New Roman" w:hAnsi="Times New Roman" w:cs="Times New Roman"/>
          <w:iCs/>
          <w:noProof/>
          <w:sz w:val="24"/>
          <w:szCs w:val="24"/>
          <w:lang w:val="en-IE"/>
        </w:rPr>
        <w:t xml:space="preserve">aw </w:t>
      </w:r>
      <w:r w:rsidR="00B0326F">
        <w:rPr>
          <w:rFonts w:ascii="Times New Roman" w:hAnsi="Times New Roman" w:cs="Times New Roman"/>
          <w:iCs/>
          <w:noProof/>
          <w:sz w:val="24"/>
          <w:szCs w:val="24"/>
          <w:lang w:val="en-IE"/>
        </w:rPr>
        <w:t>e</w:t>
      </w:r>
      <w:r w:rsidR="00182E5C" w:rsidRPr="00575CC5">
        <w:rPr>
          <w:rFonts w:ascii="Times New Roman" w:hAnsi="Times New Roman" w:cs="Times New Roman"/>
          <w:iCs/>
          <w:noProof/>
          <w:sz w:val="24"/>
          <w:szCs w:val="24"/>
          <w:lang w:val="en-IE"/>
        </w:rPr>
        <w:t xml:space="preserve">nforcement </w:t>
      </w:r>
      <w:r w:rsidR="00B0326F">
        <w:rPr>
          <w:rFonts w:ascii="Times New Roman" w:hAnsi="Times New Roman" w:cs="Times New Roman"/>
          <w:iCs/>
          <w:noProof/>
          <w:sz w:val="24"/>
          <w:szCs w:val="24"/>
          <w:lang w:val="en-IE"/>
        </w:rPr>
        <w:t>a</w:t>
      </w:r>
      <w:r w:rsidR="00182E5C" w:rsidRPr="00575CC5">
        <w:rPr>
          <w:rFonts w:ascii="Times New Roman" w:hAnsi="Times New Roman" w:cs="Times New Roman"/>
          <w:iCs/>
          <w:noProof/>
          <w:sz w:val="24"/>
          <w:szCs w:val="24"/>
          <w:lang w:val="en-IE"/>
        </w:rPr>
        <w:t>uthorities, the Directive remains too general in scope, setting out standards that were already largely applied in the Member States prior to its adoption</w:t>
      </w:r>
      <w:r>
        <w:rPr>
          <w:rFonts w:ascii="Times New Roman" w:hAnsi="Times New Roman" w:cs="Times New Roman"/>
          <w:iCs/>
          <w:noProof/>
          <w:sz w:val="24"/>
          <w:szCs w:val="24"/>
          <w:lang w:val="en-IE"/>
        </w:rPr>
        <w:t>. However</w:t>
      </w:r>
      <w:r w:rsidR="00B545C7">
        <w:rPr>
          <w:rFonts w:ascii="Times New Roman" w:hAnsi="Times New Roman" w:cs="Times New Roman"/>
          <w:iCs/>
          <w:noProof/>
          <w:sz w:val="24"/>
          <w:szCs w:val="24"/>
          <w:lang w:val="en-IE"/>
        </w:rPr>
        <w:t>,</w:t>
      </w:r>
      <w:r w:rsidR="00D873E5" w:rsidRPr="00575CC5">
        <w:rPr>
          <w:rFonts w:ascii="Times New Roman" w:hAnsi="Times New Roman" w:cs="Times New Roman"/>
          <w:iCs/>
          <w:noProof/>
          <w:sz w:val="24"/>
          <w:szCs w:val="24"/>
          <w:lang w:val="en-IE"/>
        </w:rPr>
        <w:t xml:space="preserve"> most survey respondents consider that the Directive adequately addresses the </w:t>
      </w:r>
      <w:r w:rsidR="003254ED">
        <w:rPr>
          <w:rFonts w:ascii="Times New Roman" w:hAnsi="Times New Roman" w:cs="Times New Roman"/>
          <w:iCs/>
          <w:noProof/>
          <w:sz w:val="24"/>
          <w:szCs w:val="24"/>
          <w:lang w:val="en-IE"/>
        </w:rPr>
        <w:t xml:space="preserve">difficulties </w:t>
      </w:r>
      <w:r w:rsidR="00B545C7">
        <w:rPr>
          <w:rFonts w:ascii="Times New Roman" w:hAnsi="Times New Roman" w:cs="Times New Roman"/>
          <w:iCs/>
          <w:noProof/>
          <w:sz w:val="24"/>
          <w:szCs w:val="24"/>
          <w:lang w:val="en-IE"/>
        </w:rPr>
        <w:t xml:space="preserve">faced by </w:t>
      </w:r>
      <w:r w:rsidR="003254ED">
        <w:rPr>
          <w:rFonts w:ascii="Times New Roman" w:hAnsi="Times New Roman" w:cs="Times New Roman"/>
          <w:iCs/>
          <w:noProof/>
          <w:sz w:val="24"/>
          <w:szCs w:val="24"/>
          <w:lang w:val="en-IE"/>
        </w:rPr>
        <w:t xml:space="preserve">authorities </w:t>
      </w:r>
      <w:r w:rsidR="00B545C7">
        <w:rPr>
          <w:rFonts w:ascii="Times New Roman" w:hAnsi="Times New Roman" w:cs="Times New Roman"/>
          <w:iCs/>
          <w:noProof/>
          <w:sz w:val="24"/>
          <w:szCs w:val="24"/>
          <w:lang w:val="en-IE"/>
        </w:rPr>
        <w:t xml:space="preserve">in </w:t>
      </w:r>
      <w:r w:rsidR="0039532C">
        <w:rPr>
          <w:rFonts w:ascii="Times New Roman" w:hAnsi="Times New Roman" w:cs="Times New Roman"/>
          <w:iCs/>
          <w:noProof/>
          <w:sz w:val="24"/>
          <w:szCs w:val="24"/>
          <w:lang w:val="en-IE"/>
        </w:rPr>
        <w:t>investigat</w:t>
      </w:r>
      <w:r w:rsidR="00B545C7">
        <w:rPr>
          <w:rFonts w:ascii="Times New Roman" w:hAnsi="Times New Roman" w:cs="Times New Roman"/>
          <w:iCs/>
          <w:noProof/>
          <w:sz w:val="24"/>
          <w:szCs w:val="24"/>
          <w:lang w:val="en-IE"/>
        </w:rPr>
        <w:t>ing</w:t>
      </w:r>
      <w:r w:rsidR="0039532C">
        <w:rPr>
          <w:rFonts w:ascii="Times New Roman" w:hAnsi="Times New Roman" w:cs="Times New Roman"/>
          <w:iCs/>
          <w:noProof/>
          <w:sz w:val="24"/>
          <w:szCs w:val="24"/>
          <w:lang w:val="en-IE"/>
        </w:rPr>
        <w:t xml:space="preserve"> and prosecut</w:t>
      </w:r>
      <w:r w:rsidR="00B545C7">
        <w:rPr>
          <w:rFonts w:ascii="Times New Roman" w:hAnsi="Times New Roman" w:cs="Times New Roman"/>
          <w:iCs/>
          <w:noProof/>
          <w:sz w:val="24"/>
          <w:szCs w:val="24"/>
          <w:lang w:val="en-IE"/>
        </w:rPr>
        <w:t>ing</w:t>
      </w:r>
      <w:r w:rsidR="0039532C">
        <w:rPr>
          <w:rFonts w:ascii="Times New Roman" w:hAnsi="Times New Roman" w:cs="Times New Roman"/>
          <w:iCs/>
          <w:noProof/>
          <w:sz w:val="24"/>
          <w:szCs w:val="24"/>
          <w:lang w:val="en-IE"/>
        </w:rPr>
        <w:t xml:space="preserve"> money laundering</w:t>
      </w:r>
      <w:r w:rsidR="00182E5C" w:rsidRPr="00575CC5">
        <w:rPr>
          <w:rFonts w:ascii="Times New Roman" w:hAnsi="Times New Roman" w:cs="Times New Roman"/>
          <w:iCs/>
          <w:noProof/>
          <w:sz w:val="24"/>
          <w:szCs w:val="24"/>
          <w:lang w:val="en-IE"/>
        </w:rPr>
        <w:t xml:space="preserve">. </w:t>
      </w:r>
      <w:r w:rsidR="00D873E5" w:rsidRPr="00575CC5">
        <w:rPr>
          <w:rFonts w:ascii="Times New Roman" w:hAnsi="Times New Roman" w:cs="Times New Roman"/>
          <w:iCs/>
          <w:noProof/>
          <w:sz w:val="24"/>
          <w:szCs w:val="24"/>
          <w:lang w:val="en-IE"/>
        </w:rPr>
        <w:t>E</w:t>
      </w:r>
      <w:r w:rsidR="00182E5C" w:rsidRPr="00575CC5">
        <w:rPr>
          <w:rFonts w:ascii="Times New Roman" w:hAnsi="Times New Roman" w:cs="Times New Roman"/>
          <w:iCs/>
          <w:noProof/>
          <w:sz w:val="24"/>
          <w:szCs w:val="24"/>
          <w:lang w:val="en-IE"/>
        </w:rPr>
        <w:t>merging challenges</w:t>
      </w:r>
      <w:r w:rsidR="00D873E5" w:rsidRPr="00575CC5">
        <w:rPr>
          <w:rFonts w:ascii="Times New Roman" w:hAnsi="Times New Roman" w:cs="Times New Roman"/>
          <w:iCs/>
          <w:noProof/>
          <w:sz w:val="24"/>
          <w:szCs w:val="24"/>
          <w:lang w:val="en-IE"/>
        </w:rPr>
        <w:t xml:space="preserve"> flagged by stakeholders</w:t>
      </w:r>
      <w:r w:rsidR="00182E5C" w:rsidRPr="00575CC5">
        <w:rPr>
          <w:rFonts w:ascii="Times New Roman" w:hAnsi="Times New Roman" w:cs="Times New Roman"/>
          <w:iCs/>
          <w:noProof/>
          <w:sz w:val="24"/>
          <w:szCs w:val="24"/>
          <w:lang w:val="en-IE"/>
        </w:rPr>
        <w:t>, such as money laundering facilitated by virtual currencies</w:t>
      </w:r>
      <w:r w:rsidR="00D873E5" w:rsidRPr="00575CC5">
        <w:rPr>
          <w:rFonts w:ascii="Times New Roman" w:hAnsi="Times New Roman" w:cs="Times New Roman"/>
          <w:iCs/>
          <w:noProof/>
          <w:sz w:val="24"/>
          <w:szCs w:val="24"/>
          <w:lang w:val="en-IE"/>
        </w:rPr>
        <w:t xml:space="preserve">, are </w:t>
      </w:r>
      <w:r w:rsidR="00DC5014">
        <w:rPr>
          <w:rFonts w:ascii="Times New Roman" w:hAnsi="Times New Roman" w:cs="Times New Roman"/>
          <w:iCs/>
          <w:noProof/>
          <w:sz w:val="24"/>
          <w:szCs w:val="24"/>
          <w:lang w:val="en-IE"/>
        </w:rPr>
        <w:t xml:space="preserve">adequately </w:t>
      </w:r>
      <w:r w:rsidR="00D873E5" w:rsidRPr="00575CC5">
        <w:rPr>
          <w:rFonts w:ascii="Times New Roman" w:hAnsi="Times New Roman" w:cs="Times New Roman"/>
          <w:iCs/>
          <w:noProof/>
          <w:sz w:val="24"/>
          <w:szCs w:val="24"/>
          <w:lang w:val="en-IE"/>
        </w:rPr>
        <w:t xml:space="preserve">covered by the Directive </w:t>
      </w:r>
      <w:r w:rsidR="00DC5014">
        <w:rPr>
          <w:rFonts w:ascii="Times New Roman" w:hAnsi="Times New Roman" w:cs="Times New Roman"/>
          <w:iCs/>
          <w:noProof/>
          <w:sz w:val="24"/>
          <w:szCs w:val="24"/>
          <w:lang w:val="en-IE"/>
        </w:rPr>
        <w:t>because of</w:t>
      </w:r>
      <w:r w:rsidR="00D873E5" w:rsidRPr="00575CC5">
        <w:rPr>
          <w:rFonts w:ascii="Times New Roman" w:hAnsi="Times New Roman" w:cs="Times New Roman"/>
          <w:iCs/>
          <w:noProof/>
          <w:sz w:val="24"/>
          <w:szCs w:val="24"/>
          <w:lang w:val="en-IE"/>
        </w:rPr>
        <w:t xml:space="preserve"> its technology-neutral character, and addressed </w:t>
      </w:r>
      <w:r w:rsidR="00182E5C" w:rsidRPr="00575CC5">
        <w:rPr>
          <w:rFonts w:ascii="Times New Roman" w:hAnsi="Times New Roman" w:cs="Times New Roman"/>
          <w:iCs/>
          <w:noProof/>
          <w:sz w:val="24"/>
          <w:szCs w:val="24"/>
          <w:lang w:val="en-IE"/>
        </w:rPr>
        <w:t>through other EU legislative instruments</w:t>
      </w:r>
      <w:r w:rsidR="00D873E5" w:rsidRPr="00575CC5">
        <w:rPr>
          <w:rFonts w:ascii="Times New Roman" w:hAnsi="Times New Roman" w:cs="Times New Roman"/>
          <w:iCs/>
          <w:noProof/>
          <w:sz w:val="24"/>
          <w:szCs w:val="24"/>
          <w:lang w:val="en-IE"/>
        </w:rPr>
        <w:t xml:space="preserve">, </w:t>
      </w:r>
      <w:r w:rsidR="00B545C7">
        <w:rPr>
          <w:rFonts w:ascii="Times New Roman" w:hAnsi="Times New Roman" w:cs="Times New Roman"/>
          <w:iCs/>
          <w:noProof/>
          <w:sz w:val="24"/>
          <w:szCs w:val="24"/>
          <w:lang w:val="en-IE"/>
        </w:rPr>
        <w:t>such as</w:t>
      </w:r>
      <w:r w:rsidR="00B545C7" w:rsidRPr="00575CC5">
        <w:rPr>
          <w:rFonts w:ascii="Times New Roman" w:hAnsi="Times New Roman" w:cs="Times New Roman"/>
          <w:iCs/>
          <w:noProof/>
          <w:sz w:val="24"/>
          <w:szCs w:val="24"/>
          <w:lang w:val="en-IE"/>
        </w:rPr>
        <w:t xml:space="preserve"> </w:t>
      </w:r>
      <w:r w:rsidR="00D873E5" w:rsidRPr="00575CC5">
        <w:rPr>
          <w:rFonts w:ascii="Times New Roman" w:hAnsi="Times New Roman" w:cs="Times New Roman"/>
          <w:iCs/>
          <w:noProof/>
          <w:sz w:val="24"/>
          <w:szCs w:val="24"/>
          <w:lang w:val="en-IE"/>
        </w:rPr>
        <w:t xml:space="preserve">the Anti-Money Laundering </w:t>
      </w:r>
      <w:r w:rsidR="00B545C7">
        <w:rPr>
          <w:rFonts w:ascii="Times New Roman" w:hAnsi="Times New Roman" w:cs="Times New Roman"/>
          <w:iCs/>
          <w:noProof/>
          <w:sz w:val="24"/>
          <w:szCs w:val="24"/>
          <w:lang w:val="en-IE"/>
        </w:rPr>
        <w:t>P</w:t>
      </w:r>
      <w:r w:rsidR="00D873E5" w:rsidRPr="00575CC5">
        <w:rPr>
          <w:rFonts w:ascii="Times New Roman" w:hAnsi="Times New Roman" w:cs="Times New Roman"/>
          <w:iCs/>
          <w:noProof/>
          <w:sz w:val="24"/>
          <w:szCs w:val="24"/>
          <w:lang w:val="en-IE"/>
        </w:rPr>
        <w:t>ackage</w:t>
      </w:r>
      <w:r w:rsidR="00426248">
        <w:rPr>
          <w:rFonts w:ascii="Times New Roman" w:hAnsi="Times New Roman" w:cs="Times New Roman"/>
          <w:iCs/>
          <w:noProof/>
          <w:sz w:val="24"/>
          <w:szCs w:val="24"/>
          <w:lang w:val="en-IE"/>
        </w:rPr>
        <w:t>.</w:t>
      </w:r>
    </w:p>
    <w:p w14:paraId="42FB2C11" w14:textId="3EC4D984" w:rsidR="00182E5C" w:rsidRPr="00575CC5" w:rsidRDefault="00182E5C" w:rsidP="00161031">
      <w:pPr>
        <w:pStyle w:val="Heading3"/>
        <w:jc w:val="both"/>
        <w:rPr>
          <w:rFonts w:ascii="Times New Roman" w:eastAsia="Times New Roman" w:hAnsi="Times New Roman" w:cs="Times New Roman"/>
          <w:b/>
          <w:bCs/>
          <w:noProof/>
          <w:color w:val="000000" w:themeColor="text1"/>
        </w:rPr>
      </w:pPr>
      <w:bookmarkStart w:id="52" w:name="_Toc223439260"/>
      <w:r w:rsidRPr="00575CC5">
        <w:rPr>
          <w:rFonts w:ascii="Times New Roman" w:eastAsia="Times New Roman" w:hAnsi="Times New Roman" w:cs="Times New Roman"/>
          <w:b/>
          <w:bCs/>
          <w:noProof/>
          <w:color w:val="000000" w:themeColor="text1"/>
        </w:rPr>
        <w:t>4.3.</w:t>
      </w:r>
      <w:r w:rsidR="00883F2B">
        <w:rPr>
          <w:rFonts w:ascii="Times New Roman" w:eastAsia="Times New Roman" w:hAnsi="Times New Roman" w:cs="Times New Roman"/>
          <w:b/>
          <w:bCs/>
          <w:noProof/>
          <w:color w:val="000000" w:themeColor="text1"/>
        </w:rPr>
        <w:t>2</w:t>
      </w:r>
      <w:r w:rsidRPr="00575CC5">
        <w:rPr>
          <w:rFonts w:ascii="Times New Roman" w:eastAsia="Times New Roman" w:hAnsi="Times New Roman" w:cs="Times New Roman"/>
          <w:b/>
          <w:bCs/>
          <w:noProof/>
          <w:color w:val="000000" w:themeColor="text1"/>
        </w:rPr>
        <w:t>. Remaining obstacles/legal and practical issues in the fight against money laundering</w:t>
      </w:r>
      <w:bookmarkEnd w:id="52"/>
      <w:r w:rsidRPr="00575CC5">
        <w:rPr>
          <w:rFonts w:ascii="Times New Roman" w:eastAsia="Times New Roman" w:hAnsi="Times New Roman" w:cs="Times New Roman"/>
          <w:b/>
          <w:bCs/>
          <w:noProof/>
          <w:color w:val="000000" w:themeColor="text1"/>
        </w:rPr>
        <w:t xml:space="preserve">  </w:t>
      </w:r>
    </w:p>
    <w:p w14:paraId="2DC79E44" w14:textId="46A53A5B" w:rsidR="00182E5C" w:rsidRPr="00575CC5" w:rsidRDefault="00E26F27">
      <w:pPr>
        <w:jc w:val="both"/>
        <w:rPr>
          <w:rFonts w:ascii="Times New Roman" w:hAnsi="Times New Roman" w:cs="Times New Roman"/>
          <w:noProof/>
          <w:sz w:val="24"/>
          <w:szCs w:val="24"/>
          <w:lang w:val="en-IE"/>
        </w:rPr>
      </w:pPr>
      <w:r w:rsidRPr="00A908E5">
        <w:rPr>
          <w:rFonts w:ascii="Times New Roman" w:hAnsi="Times New Roman" w:cs="Times New Roman"/>
          <w:noProof/>
          <w:sz w:val="24"/>
          <w:szCs w:val="24"/>
        </w:rPr>
        <w:t xml:space="preserve">Most stakeholders did not point </w:t>
      </w:r>
      <w:r>
        <w:rPr>
          <w:rFonts w:ascii="Times New Roman" w:hAnsi="Times New Roman" w:cs="Times New Roman"/>
          <w:noProof/>
          <w:sz w:val="24"/>
          <w:szCs w:val="24"/>
        </w:rPr>
        <w:t>out</w:t>
      </w:r>
      <w:r w:rsidRPr="00A908E5">
        <w:rPr>
          <w:rFonts w:ascii="Times New Roman" w:hAnsi="Times New Roman" w:cs="Times New Roman"/>
          <w:noProof/>
          <w:sz w:val="24"/>
          <w:szCs w:val="24"/>
        </w:rPr>
        <w:t xml:space="preserve"> any provisions of Directive (EU) 2018/1673 that have </w:t>
      </w:r>
      <w:r>
        <w:rPr>
          <w:rFonts w:ascii="Times New Roman" w:hAnsi="Times New Roman" w:cs="Times New Roman"/>
          <w:noProof/>
          <w:sz w:val="24"/>
          <w:szCs w:val="24"/>
        </w:rPr>
        <w:t xml:space="preserve">become less effective </w:t>
      </w:r>
      <w:r w:rsidRPr="00A908E5">
        <w:rPr>
          <w:rFonts w:ascii="Times New Roman" w:hAnsi="Times New Roman" w:cs="Times New Roman"/>
          <w:noProof/>
          <w:sz w:val="24"/>
          <w:szCs w:val="24"/>
        </w:rPr>
        <w:t xml:space="preserve">in </w:t>
      </w:r>
      <w:r>
        <w:rPr>
          <w:rFonts w:ascii="Times New Roman" w:hAnsi="Times New Roman" w:cs="Times New Roman"/>
          <w:noProof/>
          <w:sz w:val="24"/>
          <w:szCs w:val="24"/>
        </w:rPr>
        <w:t xml:space="preserve">terms of </w:t>
      </w:r>
      <w:r w:rsidRPr="00A908E5">
        <w:rPr>
          <w:rFonts w:ascii="Times New Roman" w:hAnsi="Times New Roman" w:cs="Times New Roman"/>
          <w:noProof/>
          <w:sz w:val="24"/>
          <w:szCs w:val="24"/>
        </w:rPr>
        <w:t xml:space="preserve">addressing current challenges </w:t>
      </w:r>
      <w:r>
        <w:rPr>
          <w:rFonts w:ascii="Times New Roman" w:hAnsi="Times New Roman" w:cs="Times New Roman"/>
          <w:noProof/>
          <w:sz w:val="24"/>
          <w:szCs w:val="24"/>
        </w:rPr>
        <w:t>associated with investigating</w:t>
      </w:r>
      <w:r w:rsidRPr="00A908E5">
        <w:rPr>
          <w:rFonts w:ascii="Times New Roman" w:hAnsi="Times New Roman" w:cs="Times New Roman"/>
          <w:noProof/>
          <w:sz w:val="24"/>
          <w:szCs w:val="24"/>
        </w:rPr>
        <w:t xml:space="preserve"> money laundering and predicate offences</w:t>
      </w:r>
      <w:r w:rsidR="00182E5C" w:rsidRPr="00575CC5">
        <w:rPr>
          <w:rStyle w:val="FootnoteReference"/>
          <w:rFonts w:ascii="Times New Roman" w:hAnsi="Times New Roman" w:cs="Times New Roman"/>
          <w:noProof/>
          <w:lang w:val="en-IE"/>
        </w:rPr>
        <w:footnoteReference w:id="74"/>
      </w:r>
      <w:r w:rsidR="00182E5C" w:rsidRPr="00575CC5">
        <w:rPr>
          <w:rFonts w:ascii="Times New Roman" w:hAnsi="Times New Roman" w:cs="Times New Roman"/>
          <w:noProof/>
          <w:sz w:val="24"/>
          <w:szCs w:val="24"/>
          <w:lang w:val="en-IE"/>
        </w:rPr>
        <w:t xml:space="preserve">. One </w:t>
      </w:r>
      <w:r>
        <w:rPr>
          <w:rFonts w:ascii="Times New Roman" w:hAnsi="Times New Roman" w:cs="Times New Roman"/>
          <w:noProof/>
          <w:sz w:val="24"/>
          <w:szCs w:val="24"/>
          <w:lang w:val="en-IE"/>
        </w:rPr>
        <w:t>l</w:t>
      </w:r>
      <w:r w:rsidRPr="00575CC5">
        <w:rPr>
          <w:rFonts w:ascii="Times New Roman" w:hAnsi="Times New Roman" w:cs="Times New Roman"/>
          <w:noProof/>
          <w:sz w:val="24"/>
          <w:szCs w:val="24"/>
          <w:lang w:val="en-IE"/>
        </w:rPr>
        <w:t xml:space="preserve">aw </w:t>
      </w:r>
      <w:r w:rsidR="00B0326F">
        <w:rPr>
          <w:rFonts w:ascii="Times New Roman" w:hAnsi="Times New Roman" w:cs="Times New Roman"/>
          <w:noProof/>
          <w:sz w:val="24"/>
          <w:szCs w:val="24"/>
          <w:lang w:val="en-IE"/>
        </w:rPr>
        <w:t>e</w:t>
      </w:r>
      <w:r w:rsidR="00182E5C" w:rsidRPr="00575CC5">
        <w:rPr>
          <w:rFonts w:ascii="Times New Roman" w:hAnsi="Times New Roman" w:cs="Times New Roman"/>
          <w:noProof/>
          <w:sz w:val="24"/>
          <w:szCs w:val="24"/>
          <w:lang w:val="en-IE"/>
        </w:rPr>
        <w:t xml:space="preserve">nforcement </w:t>
      </w:r>
      <w:r w:rsidR="00B0326F">
        <w:rPr>
          <w:rFonts w:ascii="Times New Roman" w:hAnsi="Times New Roman" w:cs="Times New Roman"/>
          <w:noProof/>
          <w:sz w:val="24"/>
          <w:szCs w:val="24"/>
          <w:lang w:val="en-IE"/>
        </w:rPr>
        <w:t>a</w:t>
      </w:r>
      <w:r w:rsidR="00182E5C" w:rsidRPr="00575CC5">
        <w:rPr>
          <w:rFonts w:ascii="Times New Roman" w:hAnsi="Times New Roman" w:cs="Times New Roman"/>
          <w:noProof/>
          <w:sz w:val="24"/>
          <w:szCs w:val="24"/>
          <w:lang w:val="en-IE"/>
        </w:rPr>
        <w:t>uthority, however, stressed that the rapid emergence of new technologies, such as fintech services and virtual currencies, requires the European legislator to consider more specific rules on investigative tools adapted to these developments. The respondent referred in particular to Article 11, which addresses the use of such tools in preparatory proceedings only in broad and general terms. </w:t>
      </w:r>
    </w:p>
    <w:p w14:paraId="5434FD21" w14:textId="1CCE3334" w:rsidR="00C121B9" w:rsidRPr="00575CC5" w:rsidRDefault="00C121B9" w:rsidP="00161031">
      <w:pPr>
        <w:jc w:val="both"/>
        <w:rPr>
          <w:rFonts w:ascii="Times New Roman" w:hAnsi="Times New Roman" w:cs="Times New Roman"/>
          <w:noProof/>
          <w:sz w:val="28"/>
          <w:szCs w:val="28"/>
        </w:rPr>
      </w:pPr>
      <w:r w:rsidRPr="00575CC5">
        <w:rPr>
          <w:rFonts w:ascii="Times New Roman" w:hAnsi="Times New Roman" w:cs="Times New Roman"/>
          <w:noProof/>
          <w:sz w:val="24"/>
          <w:szCs w:val="24"/>
          <w:lang w:val="en-IE"/>
        </w:rPr>
        <w:t xml:space="preserve">Overall, </w:t>
      </w:r>
      <w:r w:rsidRPr="00575CC5">
        <w:rPr>
          <w:rFonts w:ascii="Times New Roman" w:hAnsi="Times New Roman" w:cs="Times New Roman"/>
          <w:noProof/>
          <w:sz w:val="24"/>
          <w:szCs w:val="24"/>
        </w:rPr>
        <w:t xml:space="preserve">the Directive’s objectives and measures continue to meet identified needs and current challenges </w:t>
      </w:r>
      <w:r w:rsidR="00E26F27">
        <w:rPr>
          <w:rFonts w:ascii="Times New Roman" w:hAnsi="Times New Roman" w:cs="Times New Roman"/>
          <w:noProof/>
          <w:sz w:val="24"/>
          <w:szCs w:val="24"/>
        </w:rPr>
        <w:t>in relation to</w:t>
      </w:r>
      <w:r w:rsidRPr="00575CC5">
        <w:rPr>
          <w:rFonts w:ascii="Times New Roman" w:hAnsi="Times New Roman" w:cs="Times New Roman"/>
          <w:noProof/>
          <w:sz w:val="24"/>
          <w:szCs w:val="24"/>
        </w:rPr>
        <w:t xml:space="preserve"> money laundering and organised crime. According to Europol’s Serious and Organised Threat Assessment 2025, money laundering plays a crucial role in enabling criminals to profit from illegal activities and is the backbone of organised crime</w:t>
      </w:r>
      <w:r w:rsidRPr="00575CC5">
        <w:rPr>
          <w:rStyle w:val="FootnoteReference"/>
          <w:rFonts w:ascii="Times New Roman" w:hAnsi="Times New Roman" w:cs="Times New Roman"/>
          <w:noProof/>
          <w:sz w:val="22"/>
          <w:szCs w:val="24"/>
        </w:rPr>
        <w:footnoteReference w:id="75"/>
      </w:r>
      <w:r w:rsidRPr="00575CC5">
        <w:rPr>
          <w:rFonts w:ascii="Times New Roman" w:hAnsi="Times New Roman" w:cs="Times New Roman"/>
          <w:noProof/>
          <w:sz w:val="24"/>
          <w:szCs w:val="24"/>
        </w:rPr>
        <w:t xml:space="preserve">. Moreover, </w:t>
      </w:r>
      <w:r w:rsidRPr="00382C99">
        <w:rPr>
          <w:rFonts w:ascii="Times New Roman" w:hAnsi="Times New Roman" w:cs="Times New Roman"/>
          <w:i/>
          <w:iCs/>
          <w:noProof/>
          <w:sz w:val="24"/>
          <w:szCs w:val="24"/>
        </w:rPr>
        <w:t>modi operandi</w:t>
      </w:r>
      <w:r w:rsidRPr="00575CC5">
        <w:rPr>
          <w:rFonts w:ascii="Times New Roman" w:hAnsi="Times New Roman" w:cs="Times New Roman"/>
          <w:noProof/>
          <w:sz w:val="24"/>
          <w:szCs w:val="24"/>
        </w:rPr>
        <w:t xml:space="preserve"> of money laundering often involve multiple transactions across various non-EU jurisdictions, exploiting regulatory disparities and creating a complex trail that challenges financial investigations: a harmonised criminal response across Member States </w:t>
      </w:r>
      <w:r w:rsidR="00E26F27">
        <w:rPr>
          <w:rFonts w:ascii="Times New Roman" w:hAnsi="Times New Roman" w:cs="Times New Roman"/>
          <w:noProof/>
          <w:sz w:val="24"/>
          <w:szCs w:val="24"/>
        </w:rPr>
        <w:t xml:space="preserve">therefore </w:t>
      </w:r>
      <w:r w:rsidR="00DC5014">
        <w:rPr>
          <w:rFonts w:ascii="Times New Roman" w:hAnsi="Times New Roman" w:cs="Times New Roman"/>
          <w:noProof/>
          <w:sz w:val="24"/>
          <w:szCs w:val="24"/>
        </w:rPr>
        <w:t>remains</w:t>
      </w:r>
      <w:r w:rsidRPr="00575CC5">
        <w:rPr>
          <w:rFonts w:ascii="Times New Roman" w:hAnsi="Times New Roman" w:cs="Times New Roman"/>
          <w:noProof/>
          <w:sz w:val="24"/>
          <w:szCs w:val="24"/>
        </w:rPr>
        <w:t xml:space="preserve"> as important as ever.</w:t>
      </w:r>
    </w:p>
    <w:p w14:paraId="1EFB5627" w14:textId="0A3B1CEB" w:rsidR="008530D4" w:rsidRPr="00575CC5" w:rsidRDefault="00147D71" w:rsidP="00E71F52">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rPr>
      </w:pPr>
      <w:bookmarkStart w:id="53" w:name="_Toc223439261"/>
      <w:r w:rsidRPr="00575CC5">
        <w:rPr>
          <w:noProof/>
        </w:rPr>
        <w:t>What are the conclusions and lessons learned?</w:t>
      </w:r>
      <w:bookmarkEnd w:id="53"/>
    </w:p>
    <w:p w14:paraId="0944C98D" w14:textId="2D8F054B" w:rsidR="00523E00" w:rsidRDefault="00523E00" w:rsidP="007D2FE1">
      <w:pPr>
        <w:jc w:val="both"/>
        <w:rPr>
          <w:rFonts w:ascii="Times New Roman" w:hAnsi="Times New Roman" w:cs="Times New Roman"/>
          <w:noProof/>
          <w:color w:val="000000" w:themeColor="text1"/>
          <w:sz w:val="24"/>
          <w:szCs w:val="24"/>
        </w:rPr>
      </w:pPr>
      <w:bookmarkStart w:id="54" w:name="_Toc216108690"/>
      <w:bookmarkStart w:id="55" w:name="_Toc216108691"/>
      <w:bookmarkStart w:id="56" w:name="_Toc216108692"/>
      <w:bookmarkStart w:id="57" w:name="_Toc216108693"/>
      <w:bookmarkStart w:id="58" w:name="_Toc216108694"/>
      <w:bookmarkStart w:id="59" w:name="_Toc216108695"/>
      <w:bookmarkEnd w:id="54"/>
      <w:bookmarkEnd w:id="55"/>
      <w:bookmarkEnd w:id="56"/>
      <w:bookmarkEnd w:id="57"/>
      <w:bookmarkEnd w:id="58"/>
      <w:bookmarkEnd w:id="59"/>
      <w:r w:rsidRPr="002B7327">
        <w:rPr>
          <w:rFonts w:ascii="Times New Roman" w:hAnsi="Times New Roman" w:cs="Times New Roman"/>
          <w:noProof/>
          <w:color w:val="000000" w:themeColor="text1"/>
          <w:sz w:val="24"/>
          <w:szCs w:val="24"/>
        </w:rPr>
        <w:t xml:space="preserve">The overall objective of this Staff Working Document is to evaluate Directive (EU) </w:t>
      </w:r>
      <w:r>
        <w:rPr>
          <w:rFonts w:ascii="Times New Roman" w:hAnsi="Times New Roman" w:cs="Times New Roman"/>
          <w:noProof/>
          <w:color w:val="000000" w:themeColor="text1"/>
          <w:sz w:val="24"/>
          <w:szCs w:val="24"/>
        </w:rPr>
        <w:t>2018</w:t>
      </w:r>
      <w:r w:rsidRPr="002B7327">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1673</w:t>
      </w:r>
      <w:r w:rsidRPr="002B7327">
        <w:rPr>
          <w:rFonts w:ascii="Times New Roman" w:hAnsi="Times New Roman" w:cs="Times New Roman"/>
          <w:noProof/>
          <w:color w:val="000000" w:themeColor="text1"/>
          <w:sz w:val="24"/>
          <w:szCs w:val="24"/>
        </w:rPr>
        <w:t xml:space="preserve"> on combating </w:t>
      </w:r>
      <w:r>
        <w:rPr>
          <w:rFonts w:ascii="Times New Roman" w:hAnsi="Times New Roman" w:cs="Times New Roman"/>
          <w:noProof/>
          <w:color w:val="000000" w:themeColor="text1"/>
          <w:sz w:val="24"/>
          <w:szCs w:val="24"/>
        </w:rPr>
        <w:t>money laundering by criminal law</w:t>
      </w:r>
      <w:r w:rsidRPr="002B7327">
        <w:rPr>
          <w:rFonts w:ascii="Times New Roman" w:hAnsi="Times New Roman" w:cs="Times New Roman"/>
          <w:noProof/>
          <w:color w:val="000000" w:themeColor="text1"/>
          <w:sz w:val="24"/>
          <w:szCs w:val="24"/>
        </w:rPr>
        <w:t xml:space="preserve">. The evaluation considers the Directive in light of </w:t>
      </w:r>
      <w:r w:rsidR="00267F22">
        <w:rPr>
          <w:rFonts w:ascii="Times New Roman" w:hAnsi="Times New Roman" w:cs="Times New Roman"/>
          <w:noProof/>
          <w:color w:val="000000" w:themeColor="text1"/>
          <w:sz w:val="24"/>
          <w:szCs w:val="24"/>
        </w:rPr>
        <w:t>six</w:t>
      </w:r>
      <w:r w:rsidR="00267F22" w:rsidRPr="002B7327">
        <w:rPr>
          <w:rFonts w:ascii="Times New Roman" w:hAnsi="Times New Roman" w:cs="Times New Roman"/>
          <w:noProof/>
          <w:color w:val="000000" w:themeColor="text1"/>
          <w:sz w:val="24"/>
          <w:szCs w:val="24"/>
        </w:rPr>
        <w:t xml:space="preserve"> </w:t>
      </w:r>
      <w:r w:rsidRPr="002B7327">
        <w:rPr>
          <w:rFonts w:ascii="Times New Roman" w:hAnsi="Times New Roman" w:cs="Times New Roman"/>
          <w:noProof/>
          <w:color w:val="000000" w:themeColor="text1"/>
          <w:sz w:val="24"/>
          <w:szCs w:val="24"/>
        </w:rPr>
        <w:t>evaluation criteria: relevance, effectiveness, efficiency, coherence, EU added value</w:t>
      </w:r>
      <w:r w:rsidR="00E26F27">
        <w:rPr>
          <w:rFonts w:ascii="Times New Roman" w:hAnsi="Times New Roman" w:cs="Times New Roman"/>
          <w:noProof/>
          <w:color w:val="000000" w:themeColor="text1"/>
          <w:sz w:val="24"/>
          <w:szCs w:val="24"/>
        </w:rPr>
        <w:t xml:space="preserve"> and</w:t>
      </w:r>
      <w:r w:rsidR="00E26F27" w:rsidRPr="002B7327">
        <w:rPr>
          <w:rFonts w:ascii="Times New Roman" w:hAnsi="Times New Roman" w:cs="Times New Roman"/>
          <w:noProof/>
          <w:color w:val="000000" w:themeColor="text1"/>
          <w:sz w:val="24"/>
          <w:szCs w:val="24"/>
        </w:rPr>
        <w:t xml:space="preserve"> </w:t>
      </w:r>
      <w:r w:rsidRPr="002B7327">
        <w:rPr>
          <w:rFonts w:ascii="Times New Roman" w:hAnsi="Times New Roman" w:cs="Times New Roman"/>
          <w:noProof/>
          <w:color w:val="000000" w:themeColor="text1"/>
          <w:sz w:val="24"/>
          <w:szCs w:val="24"/>
        </w:rPr>
        <w:t>the impact of the Directive on fundamental rights and freedoms.</w:t>
      </w:r>
    </w:p>
    <w:p w14:paraId="68681111" w14:textId="1AF1BFCA" w:rsidR="00A86BF8" w:rsidRDefault="00DC5014" w:rsidP="00545C2B">
      <w:pPr>
        <w:pStyle w:val="ListParagraph"/>
        <w:numPr>
          <w:ilvl w:val="0"/>
          <w:numId w:val="56"/>
        </w:numPr>
        <w:spacing w:after="200" w:line="276" w:lineRule="auto"/>
        <w:ind w:left="714" w:hanging="357"/>
        <w:rPr>
          <w:noProof/>
          <w:szCs w:val="24"/>
        </w:rPr>
      </w:pPr>
      <w:r>
        <w:rPr>
          <w:noProof/>
          <w:szCs w:val="24"/>
        </w:rPr>
        <w:t>T</w:t>
      </w:r>
      <w:r w:rsidR="007D2FE1" w:rsidRPr="00853BB8">
        <w:rPr>
          <w:noProof/>
          <w:szCs w:val="24"/>
        </w:rPr>
        <w:t xml:space="preserve">he Directive is assessed as </w:t>
      </w:r>
      <w:r w:rsidR="002819DC">
        <w:rPr>
          <w:noProof/>
          <w:szCs w:val="24"/>
        </w:rPr>
        <w:t xml:space="preserve">being </w:t>
      </w:r>
      <w:r w:rsidR="002819DC" w:rsidRPr="00172619">
        <w:rPr>
          <w:b/>
          <w:noProof/>
          <w:szCs w:val="24"/>
        </w:rPr>
        <w:t>overall effective</w:t>
      </w:r>
      <w:r w:rsidR="0071472C">
        <w:rPr>
          <w:noProof/>
          <w:szCs w:val="24"/>
        </w:rPr>
        <w:t xml:space="preserve"> in strengthening the fight against money </w:t>
      </w:r>
      <w:r w:rsidR="00A86BF8">
        <w:rPr>
          <w:noProof/>
          <w:szCs w:val="24"/>
        </w:rPr>
        <w:t>laundering</w:t>
      </w:r>
      <w:r w:rsidR="007D2FE1" w:rsidRPr="00853BB8">
        <w:rPr>
          <w:noProof/>
          <w:szCs w:val="24"/>
        </w:rPr>
        <w:t xml:space="preserve">. </w:t>
      </w:r>
      <w:r w:rsidR="00E26F27">
        <w:rPr>
          <w:noProof/>
          <w:szCs w:val="24"/>
        </w:rPr>
        <w:t>In particular</w:t>
      </w:r>
      <w:r w:rsidR="007D2FE1" w:rsidRPr="00853BB8">
        <w:rPr>
          <w:noProof/>
          <w:szCs w:val="24"/>
        </w:rPr>
        <w:t>,</w:t>
      </w:r>
      <w:r w:rsidR="002819DC">
        <w:rPr>
          <w:noProof/>
          <w:szCs w:val="24"/>
        </w:rPr>
        <w:t xml:space="preserve"> while </w:t>
      </w:r>
      <w:r w:rsidR="00706771">
        <w:rPr>
          <w:noProof/>
          <w:szCs w:val="24"/>
        </w:rPr>
        <w:t xml:space="preserve">in some Member States a certain alignment with its obligations had already </w:t>
      </w:r>
      <w:r w:rsidR="00E26F27">
        <w:rPr>
          <w:noProof/>
          <w:szCs w:val="24"/>
        </w:rPr>
        <w:t xml:space="preserve">been </w:t>
      </w:r>
      <w:r w:rsidR="00706771">
        <w:rPr>
          <w:noProof/>
          <w:szCs w:val="24"/>
        </w:rPr>
        <w:t>achieved,</w:t>
      </w:r>
      <w:r w:rsidR="00A86BF8">
        <w:rPr>
          <w:noProof/>
          <w:szCs w:val="24"/>
        </w:rPr>
        <w:t xml:space="preserve"> desk research and stakeholder input shows that</w:t>
      </w:r>
      <w:r w:rsidR="007D2FE1" w:rsidRPr="00853BB8">
        <w:rPr>
          <w:noProof/>
          <w:szCs w:val="24"/>
        </w:rPr>
        <w:t xml:space="preserve"> it has contributed to greater harmonisation of the </w:t>
      </w:r>
      <w:r w:rsidR="00A86BF8">
        <w:rPr>
          <w:noProof/>
          <w:szCs w:val="24"/>
        </w:rPr>
        <w:t xml:space="preserve">legal framework. This includes the </w:t>
      </w:r>
      <w:r w:rsidR="007D2FE1" w:rsidRPr="00853BB8">
        <w:rPr>
          <w:noProof/>
          <w:szCs w:val="24"/>
        </w:rPr>
        <w:t>definitions of money laundering offences</w:t>
      </w:r>
      <w:r w:rsidR="00706771">
        <w:rPr>
          <w:noProof/>
          <w:szCs w:val="24"/>
        </w:rPr>
        <w:t xml:space="preserve"> including stand-alone money laundering and self-laundering,</w:t>
      </w:r>
      <w:r w:rsidR="007D2FE1" w:rsidRPr="00853BB8">
        <w:rPr>
          <w:noProof/>
          <w:szCs w:val="24"/>
        </w:rPr>
        <w:t xml:space="preserve"> and related penalties</w:t>
      </w:r>
      <w:r>
        <w:rPr>
          <w:noProof/>
          <w:szCs w:val="24"/>
        </w:rPr>
        <w:t>.</w:t>
      </w:r>
    </w:p>
    <w:p w14:paraId="4A6CE44F" w14:textId="4E32B21F" w:rsidR="007D2FE1" w:rsidRDefault="00A86BF8" w:rsidP="00545C2B">
      <w:pPr>
        <w:pStyle w:val="ListParagraph"/>
        <w:numPr>
          <w:ilvl w:val="0"/>
          <w:numId w:val="56"/>
        </w:numPr>
        <w:spacing w:after="200" w:line="276" w:lineRule="auto"/>
        <w:ind w:left="714" w:hanging="357"/>
        <w:rPr>
          <w:noProof/>
          <w:szCs w:val="24"/>
        </w:rPr>
      </w:pPr>
      <w:r>
        <w:rPr>
          <w:noProof/>
          <w:szCs w:val="24"/>
        </w:rPr>
        <w:t>The Directive also</w:t>
      </w:r>
      <w:r w:rsidR="009B6022">
        <w:rPr>
          <w:noProof/>
          <w:szCs w:val="24"/>
        </w:rPr>
        <w:t xml:space="preserve"> indirectly</w:t>
      </w:r>
      <w:r>
        <w:rPr>
          <w:noProof/>
          <w:szCs w:val="24"/>
        </w:rPr>
        <w:t xml:space="preserve"> </w:t>
      </w:r>
      <w:r w:rsidR="004E5229" w:rsidRPr="00172619">
        <w:rPr>
          <w:b/>
          <w:noProof/>
          <w:szCs w:val="24"/>
        </w:rPr>
        <w:t xml:space="preserve">facilitated law enforcement </w:t>
      </w:r>
      <w:r w:rsidR="001B2E48" w:rsidRPr="00172619">
        <w:rPr>
          <w:b/>
          <w:noProof/>
          <w:szCs w:val="24"/>
        </w:rPr>
        <w:t>and judicial action and cross-border cooperation</w:t>
      </w:r>
      <w:r w:rsidR="001B2E48" w:rsidRPr="00853BB8">
        <w:rPr>
          <w:noProof/>
          <w:szCs w:val="24"/>
        </w:rPr>
        <w:t xml:space="preserve"> against money laundering</w:t>
      </w:r>
      <w:r w:rsidR="00E26F27">
        <w:rPr>
          <w:noProof/>
          <w:szCs w:val="24"/>
        </w:rPr>
        <w:t>. This was stressed</w:t>
      </w:r>
      <w:r w:rsidR="006545F8">
        <w:rPr>
          <w:noProof/>
          <w:szCs w:val="24"/>
        </w:rPr>
        <w:t xml:space="preserve"> by several stakeholders</w:t>
      </w:r>
      <w:r w:rsidR="005642C2">
        <w:rPr>
          <w:noProof/>
          <w:szCs w:val="24"/>
        </w:rPr>
        <w:t xml:space="preserve"> consulted</w:t>
      </w:r>
      <w:r w:rsidR="007D2FE1" w:rsidRPr="00853BB8">
        <w:rPr>
          <w:noProof/>
          <w:szCs w:val="24"/>
        </w:rPr>
        <w:t>.</w:t>
      </w:r>
    </w:p>
    <w:p w14:paraId="54C6E56F" w14:textId="019D4E6A" w:rsidR="00853BB8" w:rsidRDefault="005642C2" w:rsidP="00545C2B">
      <w:pPr>
        <w:pStyle w:val="ListParagraph"/>
        <w:numPr>
          <w:ilvl w:val="0"/>
          <w:numId w:val="56"/>
        </w:numPr>
        <w:spacing w:after="200" w:line="276" w:lineRule="auto"/>
        <w:ind w:left="714" w:hanging="357"/>
        <w:rPr>
          <w:noProof/>
          <w:szCs w:val="24"/>
        </w:rPr>
      </w:pPr>
      <w:r>
        <w:rPr>
          <w:noProof/>
          <w:szCs w:val="24"/>
        </w:rPr>
        <w:t xml:space="preserve">The Directive </w:t>
      </w:r>
      <w:r w:rsidR="007E3EDE">
        <w:rPr>
          <w:noProof/>
          <w:szCs w:val="24"/>
        </w:rPr>
        <w:t xml:space="preserve">can </w:t>
      </w:r>
      <w:r w:rsidR="00DC5014">
        <w:rPr>
          <w:noProof/>
          <w:szCs w:val="24"/>
        </w:rPr>
        <w:t xml:space="preserve">be </w:t>
      </w:r>
      <w:r w:rsidR="00BF3F72">
        <w:rPr>
          <w:noProof/>
          <w:szCs w:val="24"/>
        </w:rPr>
        <w:t>consider</w:t>
      </w:r>
      <w:r w:rsidR="00DC5014">
        <w:rPr>
          <w:noProof/>
          <w:szCs w:val="24"/>
        </w:rPr>
        <w:t>ed</w:t>
      </w:r>
      <w:r w:rsidR="007E3EDE">
        <w:rPr>
          <w:noProof/>
          <w:szCs w:val="24"/>
        </w:rPr>
        <w:t xml:space="preserve"> </w:t>
      </w:r>
      <w:r w:rsidR="007E3EDE" w:rsidRPr="00172619">
        <w:rPr>
          <w:b/>
          <w:noProof/>
          <w:szCs w:val="24"/>
        </w:rPr>
        <w:t>efficient</w:t>
      </w:r>
      <w:r w:rsidR="007E3EDE">
        <w:rPr>
          <w:noProof/>
          <w:szCs w:val="24"/>
        </w:rPr>
        <w:t xml:space="preserve"> as it </w:t>
      </w:r>
      <w:r w:rsidR="004B787B">
        <w:rPr>
          <w:noProof/>
          <w:szCs w:val="24"/>
        </w:rPr>
        <w:t xml:space="preserve">did not incur implementation costs </w:t>
      </w:r>
      <w:r w:rsidR="00933CDA">
        <w:rPr>
          <w:noProof/>
          <w:szCs w:val="24"/>
        </w:rPr>
        <w:t xml:space="preserve">or </w:t>
      </w:r>
      <w:r w:rsidR="004B787B">
        <w:rPr>
          <w:noProof/>
          <w:szCs w:val="24"/>
        </w:rPr>
        <w:t>administrative burde</w:t>
      </w:r>
      <w:r w:rsidR="00DC5014">
        <w:rPr>
          <w:noProof/>
          <w:szCs w:val="24"/>
        </w:rPr>
        <w:t>n;</w:t>
      </w:r>
      <w:r w:rsidR="004B787B">
        <w:rPr>
          <w:noProof/>
          <w:szCs w:val="24"/>
        </w:rPr>
        <w:t xml:space="preserve"> only a possible increased investigative workload was mentioned in terms of possible costs. While this aligns with the nature of </w:t>
      </w:r>
      <w:r w:rsidR="00DF3E53">
        <w:rPr>
          <w:noProof/>
          <w:szCs w:val="24"/>
        </w:rPr>
        <w:t>a</w:t>
      </w:r>
      <w:r w:rsidR="004B787B">
        <w:rPr>
          <w:noProof/>
          <w:szCs w:val="24"/>
        </w:rPr>
        <w:t xml:space="preserve"> criminal la</w:t>
      </w:r>
      <w:r w:rsidR="004F6FD9">
        <w:rPr>
          <w:noProof/>
          <w:szCs w:val="24"/>
        </w:rPr>
        <w:t>w</w:t>
      </w:r>
      <w:r w:rsidR="004B787B">
        <w:rPr>
          <w:noProof/>
          <w:szCs w:val="24"/>
        </w:rPr>
        <w:t xml:space="preserve"> </w:t>
      </w:r>
      <w:r w:rsidR="00933CDA">
        <w:rPr>
          <w:noProof/>
          <w:szCs w:val="24"/>
        </w:rPr>
        <w:t>d</w:t>
      </w:r>
      <w:r w:rsidR="004B787B">
        <w:rPr>
          <w:noProof/>
          <w:szCs w:val="24"/>
        </w:rPr>
        <w:t>irective</w:t>
      </w:r>
      <w:r w:rsidR="00933CDA">
        <w:rPr>
          <w:noProof/>
          <w:szCs w:val="24"/>
        </w:rPr>
        <w:t xml:space="preserve"> that updates</w:t>
      </w:r>
      <w:r w:rsidR="004B787B">
        <w:rPr>
          <w:noProof/>
          <w:szCs w:val="24"/>
        </w:rPr>
        <w:t xml:space="preserve"> existing legislation</w:t>
      </w:r>
      <w:r w:rsidR="004F6FD9">
        <w:rPr>
          <w:noProof/>
          <w:szCs w:val="24"/>
        </w:rPr>
        <w:t>, there was also a lack of quantifiable data</w:t>
      </w:r>
      <w:r w:rsidR="00464D72">
        <w:rPr>
          <w:noProof/>
          <w:szCs w:val="24"/>
        </w:rPr>
        <w:t xml:space="preserve"> which</w:t>
      </w:r>
      <w:r w:rsidR="007A3000">
        <w:rPr>
          <w:noProof/>
          <w:szCs w:val="24"/>
        </w:rPr>
        <w:t>. This made it impossible to collect</w:t>
      </w:r>
      <w:r w:rsidR="00464D72">
        <w:rPr>
          <w:noProof/>
          <w:szCs w:val="24"/>
        </w:rPr>
        <w:t xml:space="preserve"> conclusive evidence </w:t>
      </w:r>
      <w:r w:rsidR="00EA281B">
        <w:rPr>
          <w:noProof/>
          <w:szCs w:val="24"/>
        </w:rPr>
        <w:t xml:space="preserve">on the costs of achieving the results of the Directive. </w:t>
      </w:r>
      <w:r w:rsidR="000F69C3">
        <w:rPr>
          <w:noProof/>
          <w:szCs w:val="24"/>
        </w:rPr>
        <w:t xml:space="preserve">As mentioned in </w:t>
      </w:r>
      <w:r w:rsidR="007A3000">
        <w:rPr>
          <w:noProof/>
          <w:szCs w:val="24"/>
        </w:rPr>
        <w:t xml:space="preserve">Section </w:t>
      </w:r>
      <w:r w:rsidR="000F69C3">
        <w:rPr>
          <w:noProof/>
          <w:szCs w:val="24"/>
        </w:rPr>
        <w:t xml:space="preserve">4.1.2.1., however, </w:t>
      </w:r>
      <w:r w:rsidR="000F69C3" w:rsidRPr="00575CC5">
        <w:rPr>
          <w:noProof/>
          <w:szCs w:val="24"/>
        </w:rPr>
        <w:t>the assessment of costs and benefits can only be preliminary</w:t>
      </w:r>
      <w:r w:rsidR="000F69C3">
        <w:rPr>
          <w:noProof/>
          <w:szCs w:val="24"/>
        </w:rPr>
        <w:t xml:space="preserve"> and qualitative and </w:t>
      </w:r>
      <w:r w:rsidR="00E679D7">
        <w:rPr>
          <w:noProof/>
          <w:szCs w:val="24"/>
        </w:rPr>
        <w:t>will be</w:t>
      </w:r>
      <w:r w:rsidR="000F69C3">
        <w:rPr>
          <w:noProof/>
          <w:szCs w:val="24"/>
        </w:rPr>
        <w:t xml:space="preserve"> more visible in the coming years, given the length of criminal proceedings.</w:t>
      </w:r>
    </w:p>
    <w:p w14:paraId="64B1AAC8" w14:textId="4B1B701F" w:rsidR="00853BB8" w:rsidRPr="009A39FA" w:rsidRDefault="00853BB8" w:rsidP="00545C2B">
      <w:pPr>
        <w:pStyle w:val="ListParagraph"/>
        <w:numPr>
          <w:ilvl w:val="0"/>
          <w:numId w:val="56"/>
        </w:numPr>
        <w:spacing w:after="200" w:line="276" w:lineRule="auto"/>
        <w:ind w:left="714" w:hanging="357"/>
        <w:rPr>
          <w:noProof/>
          <w:szCs w:val="24"/>
        </w:rPr>
      </w:pPr>
      <w:r w:rsidRPr="00575CC5">
        <w:rPr>
          <w:noProof/>
          <w:szCs w:val="24"/>
        </w:rPr>
        <w:t>The evaluation shows that the different components of the Directive are working well together in achieving its objectives (</w:t>
      </w:r>
      <w:r w:rsidRPr="00172619">
        <w:rPr>
          <w:b/>
          <w:noProof/>
          <w:szCs w:val="24"/>
        </w:rPr>
        <w:t>internal coherence</w:t>
      </w:r>
      <w:r w:rsidRPr="00575CC5">
        <w:rPr>
          <w:noProof/>
          <w:szCs w:val="24"/>
        </w:rPr>
        <w:t>) and broad</w:t>
      </w:r>
      <w:r w:rsidR="007A3000">
        <w:rPr>
          <w:noProof/>
          <w:szCs w:val="24"/>
        </w:rPr>
        <w:t>ly</w:t>
      </w:r>
      <w:r w:rsidRPr="00575CC5">
        <w:rPr>
          <w:noProof/>
          <w:szCs w:val="24"/>
        </w:rPr>
        <w:t xml:space="preserve"> align with </w:t>
      </w:r>
      <w:r w:rsidRPr="00575CC5">
        <w:rPr>
          <w:noProof/>
          <w:szCs w:val="24"/>
          <w:lang w:val="en-IE"/>
        </w:rPr>
        <w:t>the international framework and with other EU policies in the area of fighting criminal finances</w:t>
      </w:r>
      <w:r w:rsidR="00123DE9">
        <w:rPr>
          <w:noProof/>
          <w:szCs w:val="24"/>
          <w:lang w:val="en-IE"/>
        </w:rPr>
        <w:t xml:space="preserve"> (</w:t>
      </w:r>
      <w:r w:rsidR="00123DE9" w:rsidRPr="00172619">
        <w:rPr>
          <w:b/>
          <w:bCs/>
          <w:noProof/>
          <w:szCs w:val="24"/>
          <w:lang w:val="en-IE"/>
        </w:rPr>
        <w:t>external coherence</w:t>
      </w:r>
      <w:r w:rsidR="00123DE9">
        <w:rPr>
          <w:noProof/>
          <w:szCs w:val="24"/>
          <w:lang w:val="en-IE"/>
        </w:rPr>
        <w:t>)</w:t>
      </w:r>
      <w:r w:rsidRPr="00575CC5">
        <w:rPr>
          <w:noProof/>
          <w:szCs w:val="24"/>
          <w:lang w:val="en-IE"/>
        </w:rPr>
        <w:t xml:space="preserve">. </w:t>
      </w:r>
    </w:p>
    <w:p w14:paraId="5827ED15" w14:textId="4BA2E8EB" w:rsidR="00A64BD5" w:rsidRPr="001F119D" w:rsidRDefault="00B52403" w:rsidP="00545C2B">
      <w:pPr>
        <w:pStyle w:val="ListParagraph"/>
        <w:numPr>
          <w:ilvl w:val="0"/>
          <w:numId w:val="56"/>
        </w:numPr>
        <w:spacing w:after="200" w:line="276" w:lineRule="auto"/>
        <w:ind w:left="714" w:hanging="357"/>
        <w:rPr>
          <w:noProof/>
          <w:szCs w:val="24"/>
        </w:rPr>
      </w:pPr>
      <w:r>
        <w:rPr>
          <w:noProof/>
          <w:szCs w:val="24"/>
          <w:lang w:val="en-IE"/>
        </w:rPr>
        <w:t xml:space="preserve">The evaluation shows that the Directive demonstrates some </w:t>
      </w:r>
      <w:r w:rsidR="00A64BD5" w:rsidRPr="00172619">
        <w:rPr>
          <w:b/>
          <w:noProof/>
          <w:szCs w:val="24"/>
          <w:lang w:val="en-IE"/>
        </w:rPr>
        <w:t>EU added value</w:t>
      </w:r>
      <w:r w:rsidR="00D6268F">
        <w:rPr>
          <w:noProof/>
          <w:szCs w:val="24"/>
          <w:lang w:val="en-IE"/>
        </w:rPr>
        <w:t xml:space="preserve"> through the creation of a more aligned criminal </w:t>
      </w:r>
      <w:r w:rsidR="006C4357">
        <w:rPr>
          <w:noProof/>
          <w:szCs w:val="24"/>
          <w:lang w:val="en-IE"/>
        </w:rPr>
        <w:t>la</w:t>
      </w:r>
      <w:r w:rsidR="004D1340">
        <w:rPr>
          <w:noProof/>
          <w:szCs w:val="24"/>
          <w:lang w:val="en-IE"/>
        </w:rPr>
        <w:t>w</w:t>
      </w:r>
      <w:r w:rsidR="006C4357">
        <w:rPr>
          <w:noProof/>
          <w:szCs w:val="24"/>
          <w:lang w:val="en-IE"/>
        </w:rPr>
        <w:t xml:space="preserve"> framework against money laundering across the </w:t>
      </w:r>
      <w:r w:rsidR="007A3000">
        <w:rPr>
          <w:noProof/>
          <w:szCs w:val="24"/>
          <w:lang w:val="en-IE"/>
        </w:rPr>
        <w:t>EU.</w:t>
      </w:r>
      <w:r w:rsidR="00C30A69">
        <w:rPr>
          <w:noProof/>
          <w:szCs w:val="24"/>
          <w:lang w:val="en-IE"/>
        </w:rPr>
        <w:t xml:space="preserve"> This was </w:t>
      </w:r>
      <w:r w:rsidR="004D1340">
        <w:rPr>
          <w:noProof/>
          <w:szCs w:val="24"/>
          <w:lang w:val="en-IE"/>
        </w:rPr>
        <w:t>also underlined by several of the stakeholders</w:t>
      </w:r>
      <w:r w:rsidR="00C30A69" w:rsidRPr="00C30A69">
        <w:rPr>
          <w:noProof/>
          <w:szCs w:val="24"/>
          <w:lang w:val="en-IE"/>
        </w:rPr>
        <w:t xml:space="preserve"> </w:t>
      </w:r>
      <w:r w:rsidR="00C30A69">
        <w:rPr>
          <w:noProof/>
          <w:szCs w:val="24"/>
          <w:lang w:val="en-IE"/>
        </w:rPr>
        <w:t>consulted</w:t>
      </w:r>
      <w:r w:rsidR="004D1340">
        <w:rPr>
          <w:noProof/>
          <w:szCs w:val="24"/>
          <w:lang w:val="en-IE"/>
        </w:rPr>
        <w:t xml:space="preserve">, </w:t>
      </w:r>
      <w:r w:rsidR="00C30A69">
        <w:rPr>
          <w:noProof/>
          <w:szCs w:val="24"/>
          <w:lang w:val="en-IE"/>
        </w:rPr>
        <w:t xml:space="preserve">who </w:t>
      </w:r>
      <w:r w:rsidR="004D1340">
        <w:rPr>
          <w:noProof/>
          <w:szCs w:val="24"/>
          <w:lang w:val="en-IE"/>
        </w:rPr>
        <w:t>saw this as a positive step contributing to greater legal consistency across jurisdictions and facilitating cross-border cooperation in the EU</w:t>
      </w:r>
      <w:r w:rsidR="006C4357">
        <w:rPr>
          <w:noProof/>
          <w:szCs w:val="24"/>
          <w:lang w:val="en-IE"/>
        </w:rPr>
        <w:t xml:space="preserve">. This could not have been achieved if the criminalisation of money laundering </w:t>
      </w:r>
      <w:r w:rsidR="00AF51E2">
        <w:rPr>
          <w:noProof/>
          <w:szCs w:val="24"/>
          <w:lang w:val="en-IE"/>
        </w:rPr>
        <w:t>had</w:t>
      </w:r>
      <w:r w:rsidR="006C4357">
        <w:rPr>
          <w:noProof/>
          <w:szCs w:val="24"/>
          <w:lang w:val="en-IE"/>
        </w:rPr>
        <w:t xml:space="preserve"> </w:t>
      </w:r>
      <w:r w:rsidR="005B3E36">
        <w:rPr>
          <w:noProof/>
          <w:szCs w:val="24"/>
          <w:lang w:val="en-IE"/>
        </w:rPr>
        <w:t>been</w:t>
      </w:r>
      <w:r w:rsidR="004D1340">
        <w:rPr>
          <w:noProof/>
          <w:szCs w:val="24"/>
          <w:lang w:val="en-IE"/>
        </w:rPr>
        <w:t xml:space="preserve"> left to Member States individually.</w:t>
      </w:r>
    </w:p>
    <w:p w14:paraId="0D960BD8" w14:textId="5888B8C0" w:rsidR="001A25A5" w:rsidRPr="00FC09D5" w:rsidRDefault="001A25A5" w:rsidP="001A25A5">
      <w:pPr>
        <w:pStyle w:val="ListParagraph"/>
        <w:numPr>
          <w:ilvl w:val="0"/>
          <w:numId w:val="56"/>
        </w:numPr>
        <w:spacing w:after="200" w:line="276" w:lineRule="auto"/>
        <w:ind w:left="714" w:hanging="357"/>
        <w:rPr>
          <w:noProof/>
        </w:rPr>
      </w:pPr>
      <w:r>
        <w:rPr>
          <w:noProof/>
        </w:rPr>
        <w:t xml:space="preserve">Concerns regarding the compatibility of the Directive and its transposition in the Member States with </w:t>
      </w:r>
      <w:r w:rsidRPr="76D071DD">
        <w:rPr>
          <w:b/>
          <w:bCs/>
          <w:noProof/>
        </w:rPr>
        <w:t>fundamental rights and freedoms</w:t>
      </w:r>
      <w:r>
        <w:rPr>
          <w:noProof/>
        </w:rPr>
        <w:t xml:space="preserve"> were expressed by some academics and criminal law practitioners. These concerns relate to the clarity of the definition of offences and penalties and/or the proportionality of the latter as well as undue interferences with the presumption of innocence and the principle of ne bis in idem, in particular in relation to self-laundering offences and ‘negligent’ money laundering. </w:t>
      </w:r>
      <w:r w:rsidR="00806B9B">
        <w:rPr>
          <w:noProof/>
        </w:rPr>
        <w:t>Other</w:t>
      </w:r>
      <w:r>
        <w:rPr>
          <w:noProof/>
        </w:rPr>
        <w:t xml:space="preserve"> stakeholders either considered that there was no undue impact on fundamental rights or did not have sufficient data to draw conclusions on this issue </w:t>
      </w:r>
    </w:p>
    <w:p w14:paraId="564E91C5" w14:textId="5BA73695" w:rsidR="00853BB8" w:rsidRPr="009A39FA" w:rsidRDefault="005B3E36" w:rsidP="00545C2B">
      <w:pPr>
        <w:pStyle w:val="ListParagraph"/>
        <w:numPr>
          <w:ilvl w:val="0"/>
          <w:numId w:val="56"/>
        </w:numPr>
        <w:spacing w:after="200" w:line="276" w:lineRule="auto"/>
        <w:ind w:left="714" w:hanging="357"/>
        <w:rPr>
          <w:noProof/>
          <w:szCs w:val="24"/>
        </w:rPr>
      </w:pPr>
      <w:r>
        <w:rPr>
          <w:noProof/>
          <w:szCs w:val="24"/>
          <w:lang w:val="en-IE"/>
        </w:rPr>
        <w:t>Overall,</w:t>
      </w:r>
      <w:r w:rsidR="0084595B">
        <w:rPr>
          <w:noProof/>
          <w:szCs w:val="24"/>
          <w:lang w:val="en-IE"/>
        </w:rPr>
        <w:t xml:space="preserve"> the Directive’s objectives and measures </w:t>
      </w:r>
      <w:r w:rsidR="0084595B" w:rsidRPr="00172619">
        <w:rPr>
          <w:b/>
          <w:noProof/>
          <w:szCs w:val="24"/>
          <w:lang w:val="en-IE"/>
        </w:rPr>
        <w:t xml:space="preserve">continue to </w:t>
      </w:r>
      <w:r w:rsidR="00421EEA" w:rsidRPr="00172619">
        <w:rPr>
          <w:b/>
          <w:noProof/>
          <w:szCs w:val="24"/>
          <w:lang w:val="en-IE"/>
        </w:rPr>
        <w:t xml:space="preserve">address identified needs </w:t>
      </w:r>
      <w:r w:rsidR="00421EEA">
        <w:rPr>
          <w:noProof/>
          <w:szCs w:val="24"/>
          <w:lang w:val="en-IE"/>
        </w:rPr>
        <w:t xml:space="preserve">and ongoing challenges related to money laundering and organised crime, </w:t>
      </w:r>
      <w:r w:rsidR="00A82FA9">
        <w:rPr>
          <w:noProof/>
          <w:szCs w:val="24"/>
          <w:lang w:val="en-IE"/>
        </w:rPr>
        <w:t xml:space="preserve">although </w:t>
      </w:r>
      <w:r w:rsidR="00C654B0">
        <w:rPr>
          <w:noProof/>
          <w:szCs w:val="24"/>
          <w:lang w:val="en-IE"/>
        </w:rPr>
        <w:t xml:space="preserve">new technological developments </w:t>
      </w:r>
      <w:r w:rsidR="00A82FA9">
        <w:rPr>
          <w:noProof/>
          <w:szCs w:val="24"/>
          <w:lang w:val="en-IE"/>
        </w:rPr>
        <w:t>mean that</w:t>
      </w:r>
      <w:r w:rsidR="00C654B0">
        <w:rPr>
          <w:noProof/>
          <w:szCs w:val="24"/>
          <w:lang w:val="en-IE"/>
        </w:rPr>
        <w:t xml:space="preserve"> the criminal landscape </w:t>
      </w:r>
      <w:r w:rsidR="00762CF3">
        <w:rPr>
          <w:noProof/>
          <w:szCs w:val="24"/>
          <w:lang w:val="en-IE"/>
        </w:rPr>
        <w:t>in which authorities operate</w:t>
      </w:r>
      <w:r w:rsidR="00A82FA9">
        <w:rPr>
          <w:noProof/>
          <w:szCs w:val="24"/>
          <w:lang w:val="en-IE"/>
        </w:rPr>
        <w:t xml:space="preserve"> has been slightly altered</w:t>
      </w:r>
      <w:r w:rsidR="00762CF3">
        <w:rPr>
          <w:noProof/>
          <w:szCs w:val="24"/>
          <w:lang w:val="en-IE"/>
        </w:rPr>
        <w:t>.</w:t>
      </w:r>
    </w:p>
    <w:p w14:paraId="3A382F46" w14:textId="47366E26" w:rsidR="00FC09D5" w:rsidRDefault="00FC09D5" w:rsidP="00545C2B">
      <w:pPr>
        <w:jc w:val="both"/>
        <w:rPr>
          <w:rFonts w:ascii="Times New Roman" w:hAnsi="Times New Roman" w:cs="Times New Roman"/>
          <w:noProof/>
          <w:color w:val="000000" w:themeColor="text1"/>
          <w:sz w:val="24"/>
          <w:szCs w:val="24"/>
        </w:rPr>
      </w:pPr>
      <w:r w:rsidRPr="002B7327">
        <w:rPr>
          <w:rFonts w:ascii="Times New Roman" w:hAnsi="Times New Roman" w:cs="Times New Roman"/>
          <w:noProof/>
          <w:color w:val="000000" w:themeColor="text1"/>
          <w:sz w:val="24"/>
          <w:szCs w:val="24"/>
        </w:rPr>
        <w:t xml:space="preserve">In general, </w:t>
      </w:r>
      <w:r w:rsidRPr="00172619">
        <w:rPr>
          <w:rFonts w:ascii="Times New Roman" w:hAnsi="Times New Roman" w:cs="Times New Roman"/>
          <w:b/>
          <w:noProof/>
          <w:color w:val="000000" w:themeColor="text1"/>
          <w:sz w:val="24"/>
          <w:szCs w:val="24"/>
        </w:rPr>
        <w:t xml:space="preserve">the Directive achieved its </w:t>
      </w:r>
      <w:r w:rsidR="00932B02" w:rsidRPr="00172619">
        <w:rPr>
          <w:rFonts w:ascii="Times New Roman" w:hAnsi="Times New Roman" w:cs="Times New Roman"/>
          <w:b/>
          <w:noProof/>
          <w:color w:val="000000" w:themeColor="text1"/>
          <w:sz w:val="24"/>
          <w:szCs w:val="24"/>
        </w:rPr>
        <w:t>objectives</w:t>
      </w:r>
      <w:r w:rsidR="00932B02">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and the assessment of its </w:t>
      </w:r>
      <w:r w:rsidR="00147D8A">
        <w:rPr>
          <w:rFonts w:ascii="Times New Roman" w:hAnsi="Times New Roman" w:cs="Times New Roman"/>
          <w:noProof/>
          <w:color w:val="000000" w:themeColor="text1"/>
          <w:sz w:val="24"/>
          <w:szCs w:val="24"/>
        </w:rPr>
        <w:t>functionality</w:t>
      </w:r>
      <w:r w:rsidRPr="002B7327">
        <w:rPr>
          <w:rFonts w:ascii="Times New Roman" w:hAnsi="Times New Roman" w:cs="Times New Roman"/>
          <w:noProof/>
          <w:color w:val="000000" w:themeColor="text1"/>
          <w:sz w:val="24"/>
          <w:szCs w:val="24"/>
        </w:rPr>
        <w:t xml:space="preserve"> is positive. </w:t>
      </w:r>
    </w:p>
    <w:p w14:paraId="187A6062" w14:textId="19E7C94C" w:rsidR="00FC09D5" w:rsidRDefault="00FC09D5" w:rsidP="00545C2B">
      <w:pPr>
        <w:jc w:val="both"/>
        <w:rPr>
          <w:rFonts w:ascii="Times New Roman" w:eastAsia="Times New Roman" w:hAnsi="Times New Roman" w:cs="Times New Roman"/>
          <w:noProof/>
          <w:sz w:val="24"/>
          <w:szCs w:val="24"/>
        </w:rPr>
      </w:pPr>
      <w:r w:rsidRPr="002B7327">
        <w:rPr>
          <w:rFonts w:ascii="Times New Roman" w:hAnsi="Times New Roman" w:cs="Times New Roman"/>
          <w:noProof/>
          <w:color w:val="000000" w:themeColor="text1"/>
          <w:sz w:val="24"/>
          <w:szCs w:val="24"/>
        </w:rPr>
        <w:t xml:space="preserve">On the </w:t>
      </w:r>
      <w:r w:rsidRPr="00172619">
        <w:rPr>
          <w:rFonts w:ascii="Times New Roman" w:hAnsi="Times New Roman" w:cs="Times New Roman"/>
          <w:b/>
          <w:noProof/>
          <w:color w:val="000000" w:themeColor="text1"/>
          <w:sz w:val="24"/>
          <w:szCs w:val="24"/>
        </w:rPr>
        <w:t>availability of relevant data</w:t>
      </w:r>
      <w:r>
        <w:rPr>
          <w:rFonts w:ascii="Times New Roman" w:hAnsi="Times New Roman" w:cs="Times New Roman"/>
          <w:noProof/>
          <w:color w:val="000000" w:themeColor="text1"/>
          <w:sz w:val="24"/>
          <w:szCs w:val="24"/>
        </w:rPr>
        <w:t xml:space="preserve"> for the purpose of the assessment</w:t>
      </w:r>
      <w:r w:rsidRPr="002B7327">
        <w:rPr>
          <w:rFonts w:ascii="Times New Roman" w:hAnsi="Times New Roman" w:cs="Times New Roman"/>
          <w:noProof/>
          <w:color w:val="000000" w:themeColor="text1"/>
          <w:sz w:val="24"/>
          <w:szCs w:val="24"/>
        </w:rPr>
        <w:t xml:space="preserve">, </w:t>
      </w:r>
      <w:r w:rsidR="00593D14">
        <w:rPr>
          <w:rFonts w:ascii="Times New Roman" w:hAnsi="Times New Roman" w:cs="Times New Roman"/>
          <w:noProof/>
          <w:color w:val="000000" w:themeColor="text1"/>
          <w:sz w:val="24"/>
          <w:szCs w:val="24"/>
        </w:rPr>
        <w:t xml:space="preserve">the report and supporting external study </w:t>
      </w:r>
      <w:r w:rsidR="007767D4">
        <w:rPr>
          <w:rFonts w:ascii="Times New Roman" w:hAnsi="Times New Roman" w:cs="Times New Roman"/>
          <w:noProof/>
          <w:color w:val="000000" w:themeColor="text1"/>
          <w:sz w:val="24"/>
          <w:szCs w:val="24"/>
        </w:rPr>
        <w:t>were limited in specific areas</w:t>
      </w:r>
      <w:r w:rsidRPr="002B7327">
        <w:rPr>
          <w:rFonts w:ascii="Times New Roman" w:eastAsia="Times New Roman" w:hAnsi="Times New Roman" w:cs="Times New Roman"/>
          <w:noProof/>
          <w:sz w:val="24"/>
          <w:szCs w:val="24"/>
        </w:rPr>
        <w:t>. This includes data on the practical implementation of the Directive across all Member States</w:t>
      </w:r>
      <w:r>
        <w:rPr>
          <w:rFonts w:ascii="Times New Roman" w:eastAsia="Times New Roman" w:hAnsi="Times New Roman" w:cs="Times New Roman"/>
          <w:noProof/>
          <w:sz w:val="24"/>
          <w:szCs w:val="24"/>
        </w:rPr>
        <w:t xml:space="preserve"> regarding </w:t>
      </w:r>
      <w:r w:rsidR="008E4BC9">
        <w:rPr>
          <w:rFonts w:ascii="Times New Roman" w:eastAsia="Times New Roman" w:hAnsi="Times New Roman" w:cs="Times New Roman"/>
          <w:noProof/>
          <w:sz w:val="24"/>
          <w:szCs w:val="24"/>
        </w:rPr>
        <w:t>case numbers on investigations</w:t>
      </w:r>
      <w:r w:rsidR="00DC5014">
        <w:rPr>
          <w:rFonts w:ascii="Times New Roman" w:eastAsia="Times New Roman" w:hAnsi="Times New Roman" w:cs="Times New Roman"/>
          <w:noProof/>
          <w:sz w:val="24"/>
          <w:szCs w:val="24"/>
        </w:rPr>
        <w:t xml:space="preserve"> and judicial proceedings,</w:t>
      </w:r>
      <w:r w:rsidR="008E4BC9">
        <w:rPr>
          <w:rFonts w:ascii="Times New Roman" w:eastAsia="Times New Roman" w:hAnsi="Times New Roman" w:cs="Times New Roman"/>
          <w:noProof/>
          <w:sz w:val="24"/>
          <w:szCs w:val="24"/>
        </w:rPr>
        <w:t xml:space="preserve"> as well as quantifiable data regarding the costs</w:t>
      </w:r>
      <w:r w:rsidRPr="002B7327">
        <w:rPr>
          <w:rFonts w:ascii="Times New Roman" w:eastAsia="Times New Roman" w:hAnsi="Times New Roman" w:cs="Times New Roman"/>
          <w:noProof/>
          <w:sz w:val="24"/>
          <w:szCs w:val="24"/>
        </w:rPr>
        <w:t>.</w:t>
      </w:r>
      <w:r w:rsidRPr="002B7327">
        <w:rPr>
          <w:rFonts w:ascii="Times New Roman" w:hAnsi="Times New Roman" w:cs="Times New Roman"/>
          <w:noProof/>
          <w:color w:val="000000" w:themeColor="text1"/>
          <w:sz w:val="24"/>
          <w:szCs w:val="24"/>
        </w:rPr>
        <w:t xml:space="preserve"> Member States did not always provide sufficient evidence during the consultations for the external study.</w:t>
      </w:r>
      <w:r w:rsidRPr="002B7327">
        <w:rPr>
          <w:rFonts w:ascii="Times New Roman" w:eastAsia="Times New Roman" w:hAnsi="Times New Roman" w:cs="Times New Roman"/>
          <w:noProof/>
          <w:sz w:val="24"/>
          <w:szCs w:val="24"/>
        </w:rPr>
        <w:t xml:space="preserve"> </w:t>
      </w:r>
      <w:r w:rsidR="00AD2181">
        <w:rPr>
          <w:rFonts w:ascii="Times New Roman" w:eastAsia="Times New Roman" w:hAnsi="Times New Roman" w:cs="Times New Roman"/>
          <w:noProof/>
          <w:sz w:val="24"/>
          <w:szCs w:val="24"/>
        </w:rPr>
        <w:t xml:space="preserve">Where </w:t>
      </w:r>
      <w:r w:rsidR="00AC4631">
        <w:rPr>
          <w:rFonts w:ascii="Times New Roman" w:eastAsia="Times New Roman" w:hAnsi="Times New Roman" w:cs="Times New Roman"/>
          <w:noProof/>
          <w:sz w:val="24"/>
          <w:szCs w:val="24"/>
        </w:rPr>
        <w:t>possible</w:t>
      </w:r>
      <w:r w:rsidR="00AD2181">
        <w:rPr>
          <w:rFonts w:ascii="Times New Roman" w:eastAsia="Times New Roman" w:hAnsi="Times New Roman" w:cs="Times New Roman"/>
          <w:noProof/>
          <w:sz w:val="24"/>
          <w:szCs w:val="24"/>
        </w:rPr>
        <w:t>, this</w:t>
      </w:r>
      <w:r w:rsidRPr="002B7327">
        <w:rPr>
          <w:rFonts w:ascii="Times New Roman" w:eastAsia="Times New Roman" w:hAnsi="Times New Roman" w:cs="Times New Roman"/>
          <w:noProof/>
          <w:sz w:val="24"/>
          <w:szCs w:val="24"/>
        </w:rPr>
        <w:t xml:space="preserve"> problem has been mitigated</w:t>
      </w:r>
      <w:r w:rsidR="00AD2181">
        <w:rPr>
          <w:rFonts w:ascii="Times New Roman" w:eastAsia="Times New Roman" w:hAnsi="Times New Roman" w:cs="Times New Roman"/>
          <w:noProof/>
          <w:sz w:val="24"/>
          <w:szCs w:val="24"/>
        </w:rPr>
        <w:t xml:space="preserve"> to the </w:t>
      </w:r>
      <w:r w:rsidR="00A82FA9">
        <w:rPr>
          <w:rFonts w:ascii="Times New Roman" w:eastAsia="Times New Roman" w:hAnsi="Times New Roman" w:cs="Times New Roman"/>
          <w:noProof/>
          <w:sz w:val="24"/>
          <w:szCs w:val="24"/>
        </w:rPr>
        <w:t xml:space="preserve">greatest </w:t>
      </w:r>
      <w:r w:rsidR="00D565E5">
        <w:rPr>
          <w:rFonts w:ascii="Times New Roman" w:eastAsia="Times New Roman" w:hAnsi="Times New Roman" w:cs="Times New Roman"/>
          <w:noProof/>
          <w:sz w:val="24"/>
          <w:szCs w:val="24"/>
        </w:rPr>
        <w:t>possible extent</w:t>
      </w:r>
      <w:r w:rsidRPr="002B7327">
        <w:rPr>
          <w:rFonts w:ascii="Times New Roman" w:eastAsia="Times New Roman" w:hAnsi="Times New Roman" w:cs="Times New Roman"/>
          <w:noProof/>
          <w:sz w:val="24"/>
          <w:szCs w:val="24"/>
        </w:rPr>
        <w:t xml:space="preserve"> by</w:t>
      </w:r>
      <w:r w:rsidR="008E4BC9">
        <w:rPr>
          <w:rFonts w:ascii="Times New Roman" w:eastAsia="Times New Roman" w:hAnsi="Times New Roman" w:cs="Times New Roman"/>
          <w:noProof/>
          <w:sz w:val="24"/>
          <w:szCs w:val="24"/>
        </w:rPr>
        <w:t xml:space="preserve"> </w:t>
      </w:r>
      <w:r w:rsidR="00A9199C">
        <w:rPr>
          <w:rFonts w:ascii="Times New Roman" w:eastAsia="Times New Roman" w:hAnsi="Times New Roman" w:cs="Times New Roman"/>
          <w:noProof/>
          <w:sz w:val="24"/>
          <w:szCs w:val="24"/>
        </w:rPr>
        <w:t>drawing on other exchanges with practitioners, for instance in bilateral meetings or in meetings at Eurojust</w:t>
      </w:r>
      <w:r w:rsidR="008C28F8">
        <w:rPr>
          <w:rFonts w:ascii="Times New Roman" w:eastAsia="Times New Roman" w:hAnsi="Times New Roman" w:cs="Times New Roman"/>
          <w:noProof/>
          <w:sz w:val="24"/>
          <w:szCs w:val="24"/>
        </w:rPr>
        <w:t>,</w:t>
      </w:r>
      <w:r w:rsidR="00D565E5">
        <w:rPr>
          <w:rFonts w:ascii="Times New Roman" w:eastAsia="Times New Roman" w:hAnsi="Times New Roman" w:cs="Times New Roman"/>
          <w:noProof/>
          <w:sz w:val="24"/>
          <w:szCs w:val="24"/>
        </w:rPr>
        <w:t xml:space="preserve"> and by relying on desk research </w:t>
      </w:r>
      <w:r w:rsidR="00AB4C50">
        <w:rPr>
          <w:rFonts w:ascii="Times New Roman" w:eastAsia="Times New Roman" w:hAnsi="Times New Roman" w:cs="Times New Roman"/>
          <w:noProof/>
          <w:sz w:val="24"/>
          <w:szCs w:val="24"/>
        </w:rPr>
        <w:t xml:space="preserve">done by the Commission or </w:t>
      </w:r>
      <w:r w:rsidR="00A82FA9">
        <w:rPr>
          <w:rFonts w:ascii="Times New Roman" w:eastAsia="Times New Roman" w:hAnsi="Times New Roman" w:cs="Times New Roman"/>
          <w:noProof/>
          <w:sz w:val="24"/>
          <w:szCs w:val="24"/>
        </w:rPr>
        <w:t xml:space="preserve">by </w:t>
      </w:r>
      <w:r w:rsidR="00AB4C50">
        <w:rPr>
          <w:rFonts w:ascii="Times New Roman" w:eastAsia="Times New Roman" w:hAnsi="Times New Roman" w:cs="Times New Roman"/>
          <w:noProof/>
          <w:sz w:val="24"/>
          <w:szCs w:val="24"/>
        </w:rPr>
        <w:t>drawing on reports from Eurojust and Europol</w:t>
      </w:r>
      <w:r w:rsidRPr="002B7327">
        <w:rPr>
          <w:rFonts w:ascii="Times New Roman" w:hAnsi="Times New Roman" w:cs="Times New Roman"/>
          <w:noProof/>
          <w:sz w:val="24"/>
          <w:szCs w:val="24"/>
        </w:rPr>
        <w:t xml:space="preserve">. </w:t>
      </w:r>
      <w:r w:rsidRPr="002B7327">
        <w:rPr>
          <w:rFonts w:ascii="Times New Roman" w:eastAsia="Times New Roman" w:hAnsi="Times New Roman" w:cs="Times New Roman"/>
          <w:noProof/>
          <w:sz w:val="24"/>
          <w:szCs w:val="24"/>
        </w:rPr>
        <w:t>Nevertheless, the evaluation would have benefited from additional data</w:t>
      </w:r>
      <w:r w:rsidR="00AC4631">
        <w:rPr>
          <w:rFonts w:ascii="Times New Roman" w:eastAsia="Times New Roman" w:hAnsi="Times New Roman" w:cs="Times New Roman"/>
          <w:noProof/>
          <w:sz w:val="24"/>
          <w:szCs w:val="24"/>
        </w:rPr>
        <w:t xml:space="preserve"> input</w:t>
      </w:r>
      <w:r w:rsidRPr="002B7327">
        <w:rPr>
          <w:rFonts w:ascii="Times New Roman" w:eastAsia="Times New Roman" w:hAnsi="Times New Roman" w:cs="Times New Roman"/>
          <w:noProof/>
          <w:sz w:val="24"/>
          <w:szCs w:val="24"/>
        </w:rPr>
        <w:t>.</w:t>
      </w:r>
    </w:p>
    <w:p w14:paraId="335141A9" w14:textId="05DD3956" w:rsidR="00352C5B" w:rsidRPr="00172619" w:rsidRDefault="00FC09D5" w:rsidP="00A56091">
      <w:pPr>
        <w:jc w:val="both"/>
        <w:rPr>
          <w:rFonts w:ascii="Times New Roman" w:hAnsi="Times New Roman" w:cs="Times New Roman"/>
          <w:noProof/>
          <w:color w:val="000000" w:themeColor="text1"/>
          <w:sz w:val="24"/>
          <w:szCs w:val="24"/>
        </w:rPr>
      </w:pPr>
      <w:r w:rsidRPr="002B7327">
        <w:rPr>
          <w:rFonts w:ascii="Times New Roman" w:hAnsi="Times New Roman" w:cs="Times New Roman"/>
          <w:noProof/>
          <w:color w:val="000000" w:themeColor="text1"/>
          <w:sz w:val="24"/>
          <w:szCs w:val="24"/>
        </w:rPr>
        <w:t>Despite the overall positive assessment, th</w:t>
      </w:r>
      <w:r w:rsidR="00DC5014">
        <w:rPr>
          <w:rFonts w:ascii="Times New Roman" w:hAnsi="Times New Roman" w:cs="Times New Roman"/>
          <w:noProof/>
          <w:color w:val="000000" w:themeColor="text1"/>
          <w:sz w:val="24"/>
          <w:szCs w:val="24"/>
        </w:rPr>
        <w:t>e evaluation identified</w:t>
      </w:r>
      <w:r w:rsidRPr="002B7327">
        <w:rPr>
          <w:rFonts w:ascii="Times New Roman" w:hAnsi="Times New Roman" w:cs="Times New Roman"/>
          <w:noProof/>
          <w:color w:val="000000" w:themeColor="text1"/>
          <w:sz w:val="24"/>
          <w:szCs w:val="24"/>
        </w:rPr>
        <w:t xml:space="preserve"> several issues limiting the functioning of the Directive. There is </w:t>
      </w:r>
      <w:r w:rsidRPr="00172619">
        <w:rPr>
          <w:rFonts w:ascii="Times New Roman" w:hAnsi="Times New Roman" w:cs="Times New Roman"/>
          <w:b/>
          <w:noProof/>
          <w:color w:val="000000" w:themeColor="text1"/>
          <w:sz w:val="24"/>
          <w:szCs w:val="24"/>
        </w:rPr>
        <w:t>scope for further improvement</w:t>
      </w:r>
      <w:r w:rsidRPr="002B7327">
        <w:rPr>
          <w:rFonts w:ascii="Times New Roman" w:hAnsi="Times New Roman" w:cs="Times New Roman"/>
          <w:noProof/>
          <w:color w:val="000000" w:themeColor="text1"/>
          <w:sz w:val="24"/>
          <w:szCs w:val="24"/>
        </w:rPr>
        <w:t xml:space="preserve"> based on the lessons learned</w:t>
      </w:r>
      <w:r w:rsidR="00AB4C50">
        <w:rPr>
          <w:rFonts w:ascii="Times New Roman" w:hAnsi="Times New Roman" w:cs="Times New Roman"/>
          <w:noProof/>
          <w:color w:val="000000" w:themeColor="text1"/>
          <w:sz w:val="24"/>
          <w:szCs w:val="24"/>
        </w:rPr>
        <w:t xml:space="preserve"> as set out below</w:t>
      </w:r>
      <w:r w:rsidR="00D4283D">
        <w:rPr>
          <w:rFonts w:ascii="Times New Roman" w:hAnsi="Times New Roman" w:cs="Times New Roman"/>
          <w:noProof/>
          <w:color w:val="000000" w:themeColor="text1"/>
          <w:sz w:val="24"/>
          <w:szCs w:val="24"/>
        </w:rPr>
        <w:t>.</w:t>
      </w:r>
    </w:p>
    <w:p w14:paraId="0361FAE4" w14:textId="56C42B3A" w:rsidR="009828A9" w:rsidRPr="00D91409" w:rsidRDefault="00F62E81" w:rsidP="00161031">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One</w:t>
      </w:r>
      <w:r w:rsidR="00E25261" w:rsidRPr="00575CC5">
        <w:rPr>
          <w:rFonts w:ascii="Times New Roman" w:hAnsi="Times New Roman" w:cs="Times New Roman"/>
          <w:noProof/>
          <w:sz w:val="24"/>
          <w:szCs w:val="24"/>
          <w:lang w:val="en-US"/>
        </w:rPr>
        <w:t xml:space="preserve"> area of concern relates to </w:t>
      </w:r>
      <w:r w:rsidR="004B7195" w:rsidRPr="00575CC5">
        <w:rPr>
          <w:rFonts w:ascii="Times New Roman" w:hAnsi="Times New Roman" w:cs="Times New Roman"/>
          <w:noProof/>
          <w:sz w:val="24"/>
          <w:szCs w:val="24"/>
          <w:lang w:val="en-US"/>
        </w:rPr>
        <w:t xml:space="preserve">the </w:t>
      </w:r>
      <w:r w:rsidR="00E25261" w:rsidRPr="009A39FA">
        <w:rPr>
          <w:rFonts w:ascii="Times New Roman" w:hAnsi="Times New Roman" w:cs="Times New Roman"/>
          <w:b/>
          <w:bCs/>
          <w:noProof/>
          <w:sz w:val="24"/>
          <w:szCs w:val="24"/>
          <w:lang w:val="en-US"/>
        </w:rPr>
        <w:t xml:space="preserve">differing interpretations </w:t>
      </w:r>
      <w:r w:rsidR="004B7195" w:rsidRPr="009A39FA">
        <w:rPr>
          <w:rFonts w:ascii="Times New Roman" w:hAnsi="Times New Roman" w:cs="Times New Roman"/>
          <w:b/>
          <w:bCs/>
          <w:noProof/>
          <w:sz w:val="24"/>
          <w:szCs w:val="24"/>
          <w:lang w:val="en-US"/>
        </w:rPr>
        <w:t>of</w:t>
      </w:r>
      <w:r w:rsidR="00E25261" w:rsidRPr="009A39FA">
        <w:rPr>
          <w:rFonts w:ascii="Times New Roman" w:hAnsi="Times New Roman" w:cs="Times New Roman"/>
          <w:b/>
          <w:bCs/>
          <w:noProof/>
          <w:sz w:val="24"/>
          <w:szCs w:val="24"/>
          <w:lang w:val="en-US"/>
        </w:rPr>
        <w:t xml:space="preserve"> the required standard of proof to establish the existence of a predicate offence or the illicit origin of laundered assets</w:t>
      </w:r>
      <w:r w:rsidR="00E25261" w:rsidRPr="00575CC5">
        <w:rPr>
          <w:rFonts w:ascii="Times New Roman" w:hAnsi="Times New Roman" w:cs="Times New Roman"/>
          <w:noProof/>
          <w:sz w:val="24"/>
          <w:szCs w:val="24"/>
          <w:lang w:val="en-US"/>
        </w:rPr>
        <w:t xml:space="preserve"> </w:t>
      </w:r>
      <w:r w:rsidR="007C1C33">
        <w:rPr>
          <w:rFonts w:ascii="Times New Roman" w:hAnsi="Times New Roman" w:cs="Times New Roman"/>
          <w:noProof/>
          <w:sz w:val="24"/>
          <w:szCs w:val="24"/>
          <w:lang w:val="en-US"/>
        </w:rPr>
        <w:t>for</w:t>
      </w:r>
      <w:r w:rsidR="00E25261" w:rsidRPr="00575CC5">
        <w:rPr>
          <w:rFonts w:ascii="Times New Roman" w:hAnsi="Times New Roman" w:cs="Times New Roman"/>
          <w:noProof/>
          <w:sz w:val="24"/>
          <w:szCs w:val="24"/>
          <w:lang w:val="en-US"/>
        </w:rPr>
        <w:t xml:space="preserve"> </w:t>
      </w:r>
      <w:r w:rsidR="00FA6A99" w:rsidRPr="00575CC5">
        <w:rPr>
          <w:rFonts w:ascii="Times New Roman" w:hAnsi="Times New Roman" w:cs="Times New Roman"/>
          <w:noProof/>
          <w:sz w:val="24"/>
          <w:szCs w:val="24"/>
          <w:lang w:val="en-US"/>
        </w:rPr>
        <w:t>the stand-alone</w:t>
      </w:r>
      <w:r w:rsidR="00E25261" w:rsidRPr="00575CC5">
        <w:rPr>
          <w:rFonts w:ascii="Times New Roman" w:hAnsi="Times New Roman" w:cs="Times New Roman"/>
          <w:noProof/>
          <w:sz w:val="24"/>
          <w:szCs w:val="24"/>
          <w:lang w:val="en-US"/>
        </w:rPr>
        <w:t xml:space="preserve"> money laundering offence. </w:t>
      </w:r>
      <w:r w:rsidR="007C0575">
        <w:rPr>
          <w:rFonts w:ascii="Times New Roman" w:hAnsi="Times New Roman" w:cs="Times New Roman"/>
          <w:noProof/>
          <w:sz w:val="24"/>
          <w:szCs w:val="24"/>
          <w:lang w:val="en-US"/>
        </w:rPr>
        <w:t xml:space="preserve">While the Directive leaves margin for </w:t>
      </w:r>
      <w:r w:rsidR="000C01F4">
        <w:rPr>
          <w:rFonts w:ascii="Times New Roman" w:hAnsi="Times New Roman" w:cs="Times New Roman"/>
          <w:noProof/>
          <w:sz w:val="24"/>
          <w:szCs w:val="24"/>
          <w:lang w:val="en-US"/>
        </w:rPr>
        <w:t>interpretation, t</w:t>
      </w:r>
      <w:r>
        <w:rPr>
          <w:rFonts w:ascii="Times New Roman" w:hAnsi="Times New Roman" w:cs="Times New Roman"/>
          <w:noProof/>
          <w:sz w:val="24"/>
          <w:szCs w:val="24"/>
          <w:lang w:val="en-US"/>
        </w:rPr>
        <w:t>he lack of</w:t>
      </w:r>
      <w:r w:rsidRPr="00575CC5">
        <w:rPr>
          <w:rFonts w:ascii="Times New Roman" w:hAnsi="Times New Roman" w:cs="Times New Roman"/>
          <w:noProof/>
          <w:sz w:val="24"/>
          <w:szCs w:val="24"/>
          <w:lang w:val="en-US"/>
        </w:rPr>
        <w:t xml:space="preserve"> detailed rules on the requirements to establish </w:t>
      </w:r>
      <w:r w:rsidR="000D6876">
        <w:rPr>
          <w:rFonts w:ascii="Times New Roman" w:hAnsi="Times New Roman" w:cs="Times New Roman"/>
          <w:noProof/>
          <w:sz w:val="24"/>
          <w:szCs w:val="24"/>
          <w:lang w:val="en-US"/>
        </w:rPr>
        <w:t>t</w:t>
      </w:r>
      <w:r w:rsidR="00B42F6C">
        <w:rPr>
          <w:rFonts w:ascii="Times New Roman" w:hAnsi="Times New Roman" w:cs="Times New Roman"/>
          <w:noProof/>
          <w:sz w:val="24"/>
          <w:szCs w:val="24"/>
          <w:lang w:val="en-US"/>
        </w:rPr>
        <w:t xml:space="preserve">he existence </w:t>
      </w:r>
      <w:r w:rsidR="00862A1C">
        <w:rPr>
          <w:rFonts w:ascii="Times New Roman" w:hAnsi="Times New Roman" w:cs="Times New Roman"/>
          <w:noProof/>
          <w:sz w:val="24"/>
          <w:szCs w:val="24"/>
          <w:lang w:val="en-US"/>
        </w:rPr>
        <w:t xml:space="preserve">of </w:t>
      </w:r>
      <w:r w:rsidRPr="00575CC5">
        <w:rPr>
          <w:rFonts w:ascii="Times New Roman" w:hAnsi="Times New Roman" w:cs="Times New Roman"/>
          <w:noProof/>
          <w:sz w:val="24"/>
          <w:szCs w:val="24"/>
          <w:lang w:val="en-US"/>
        </w:rPr>
        <w:t>a predicate</w:t>
      </w:r>
      <w:r w:rsidR="00DC5014">
        <w:rPr>
          <w:rFonts w:ascii="Times New Roman" w:hAnsi="Times New Roman" w:cs="Times New Roman"/>
          <w:noProof/>
          <w:sz w:val="24"/>
          <w:szCs w:val="24"/>
          <w:lang w:val="en-US"/>
        </w:rPr>
        <w:t xml:space="preserve"> </w:t>
      </w:r>
      <w:r w:rsidRPr="00575CC5">
        <w:rPr>
          <w:rFonts w:ascii="Times New Roman" w:hAnsi="Times New Roman" w:cs="Times New Roman"/>
          <w:noProof/>
          <w:sz w:val="24"/>
          <w:szCs w:val="24"/>
          <w:lang w:val="en-US"/>
        </w:rPr>
        <w:t>offence</w:t>
      </w:r>
      <w:r w:rsidR="00DC5014">
        <w:rPr>
          <w:rFonts w:ascii="Times New Roman" w:hAnsi="Times New Roman" w:cs="Times New Roman"/>
          <w:noProof/>
          <w:sz w:val="24"/>
          <w:szCs w:val="24"/>
          <w:lang w:val="en-US"/>
        </w:rPr>
        <w:t xml:space="preserve"> </w:t>
      </w:r>
      <w:r w:rsidRPr="00575CC5">
        <w:rPr>
          <w:rFonts w:ascii="Times New Roman" w:hAnsi="Times New Roman" w:cs="Times New Roman"/>
          <w:noProof/>
          <w:sz w:val="24"/>
          <w:szCs w:val="24"/>
          <w:lang w:val="en-US"/>
        </w:rPr>
        <w:t xml:space="preserve">or the illicit origin of laundered property </w:t>
      </w:r>
      <w:r w:rsidR="003454B3">
        <w:rPr>
          <w:rFonts w:ascii="Times New Roman" w:hAnsi="Times New Roman" w:cs="Times New Roman"/>
          <w:noProof/>
          <w:sz w:val="24"/>
          <w:szCs w:val="24"/>
          <w:lang w:val="en-US"/>
        </w:rPr>
        <w:t>does</w:t>
      </w:r>
      <w:r w:rsidR="000C01F4">
        <w:rPr>
          <w:rFonts w:ascii="Times New Roman" w:hAnsi="Times New Roman" w:cs="Times New Roman"/>
          <w:noProof/>
          <w:sz w:val="24"/>
          <w:szCs w:val="24"/>
          <w:lang w:val="en-US"/>
        </w:rPr>
        <w:t xml:space="preserve"> not</w:t>
      </w:r>
      <w:r>
        <w:rPr>
          <w:rFonts w:ascii="Times New Roman" w:hAnsi="Times New Roman" w:cs="Times New Roman"/>
          <w:noProof/>
          <w:sz w:val="24"/>
          <w:szCs w:val="24"/>
          <w:lang w:val="en-US"/>
        </w:rPr>
        <w:t xml:space="preserve"> ensure</w:t>
      </w:r>
      <w:r w:rsidR="00DC5014">
        <w:rPr>
          <w:rFonts w:ascii="Times New Roman" w:hAnsi="Times New Roman" w:cs="Times New Roman"/>
          <w:noProof/>
          <w:sz w:val="24"/>
          <w:szCs w:val="24"/>
          <w:lang w:val="en-US"/>
        </w:rPr>
        <w:t xml:space="preserve"> </w:t>
      </w:r>
      <w:r w:rsidRPr="00575CC5">
        <w:rPr>
          <w:rFonts w:ascii="Times New Roman" w:hAnsi="Times New Roman" w:cs="Times New Roman"/>
          <w:noProof/>
          <w:sz w:val="24"/>
          <w:szCs w:val="24"/>
          <w:lang w:val="en-US"/>
        </w:rPr>
        <w:t>a uniform application of stand-alone money laundering</w:t>
      </w:r>
      <w:r w:rsidR="007C1C33">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 xml:space="preserve">brings </w:t>
      </w:r>
      <w:r w:rsidRPr="007423CB">
        <w:rPr>
          <w:rFonts w:ascii="Times New Roman" w:hAnsi="Times New Roman" w:cs="Times New Roman"/>
          <w:noProof/>
          <w:sz w:val="24"/>
          <w:szCs w:val="24"/>
          <w:lang w:val="en-US"/>
        </w:rPr>
        <w:t>challenges in relation</w:t>
      </w:r>
      <w:r w:rsidR="00BF19D2" w:rsidRPr="007423CB">
        <w:rPr>
          <w:rFonts w:ascii="Times New Roman" w:hAnsi="Times New Roman" w:cs="Times New Roman"/>
          <w:noProof/>
          <w:sz w:val="24"/>
          <w:szCs w:val="24"/>
          <w:lang w:val="en-US"/>
        </w:rPr>
        <w:t xml:space="preserve"> </w:t>
      </w:r>
      <w:r w:rsidR="00CE31CB" w:rsidRPr="007423CB">
        <w:rPr>
          <w:rFonts w:ascii="Times New Roman" w:hAnsi="Times New Roman" w:cs="Times New Roman"/>
          <w:noProof/>
          <w:sz w:val="24"/>
          <w:szCs w:val="24"/>
          <w:lang w:val="en-US"/>
        </w:rPr>
        <w:t>to</w:t>
      </w:r>
      <w:r w:rsidRPr="007423CB">
        <w:rPr>
          <w:rFonts w:ascii="Times New Roman" w:hAnsi="Times New Roman" w:cs="Times New Roman"/>
          <w:noProof/>
          <w:sz w:val="24"/>
          <w:szCs w:val="24"/>
          <w:lang w:val="en-US"/>
        </w:rPr>
        <w:t xml:space="preserve"> the investigation and prosecution of money laundering across EU Member States</w:t>
      </w:r>
      <w:r w:rsidR="00E45A37" w:rsidRPr="007423CB">
        <w:rPr>
          <w:rFonts w:ascii="Times New Roman" w:hAnsi="Times New Roman" w:cs="Times New Roman"/>
          <w:noProof/>
          <w:sz w:val="24"/>
          <w:szCs w:val="24"/>
          <w:lang w:val="en-US"/>
        </w:rPr>
        <w:t>, and</w:t>
      </w:r>
      <w:r w:rsidR="0045604F" w:rsidRPr="00F02686">
        <w:rPr>
          <w:rFonts w:ascii="Times New Roman" w:hAnsi="Times New Roman" w:cs="Times New Roman"/>
          <w:noProof/>
          <w:sz w:val="24"/>
          <w:szCs w:val="24"/>
          <w:lang w:val="en-US"/>
        </w:rPr>
        <w:t xml:space="preserve"> according to some stakeholders</w:t>
      </w:r>
      <w:r w:rsidR="00E45A37" w:rsidRPr="007423CB">
        <w:rPr>
          <w:rFonts w:ascii="Times New Roman" w:hAnsi="Times New Roman" w:cs="Times New Roman"/>
          <w:noProof/>
          <w:sz w:val="24"/>
          <w:szCs w:val="24"/>
          <w:lang w:val="en-US"/>
        </w:rPr>
        <w:t xml:space="preserve"> carries risks with regards to the impact on the rights of affected persons</w:t>
      </w:r>
      <w:r w:rsidRPr="007423CB">
        <w:rPr>
          <w:rFonts w:ascii="Times New Roman" w:hAnsi="Times New Roman" w:cs="Times New Roman"/>
          <w:noProof/>
          <w:sz w:val="24"/>
          <w:szCs w:val="24"/>
          <w:lang w:val="en-US"/>
        </w:rPr>
        <w:t>. </w:t>
      </w:r>
      <w:r w:rsidRPr="007423CB">
        <w:rPr>
          <w:rFonts w:ascii="Times New Roman" w:hAnsi="Times New Roman" w:cs="Times New Roman"/>
          <w:noProof/>
          <w:sz w:val="24"/>
          <w:szCs w:val="24"/>
        </w:rPr>
        <w:t> </w:t>
      </w:r>
      <w:r w:rsidR="00787B28" w:rsidRPr="007423CB">
        <w:rPr>
          <w:rFonts w:ascii="Times New Roman" w:hAnsi="Times New Roman" w:cs="Times New Roman"/>
          <w:noProof/>
          <w:sz w:val="24"/>
          <w:szCs w:val="24"/>
          <w:lang w:val="en-US"/>
        </w:rPr>
        <w:t>The</w:t>
      </w:r>
      <w:r w:rsidR="00787B28" w:rsidRPr="00172619">
        <w:rPr>
          <w:rFonts w:ascii="Times New Roman" w:hAnsi="Times New Roman" w:cs="Times New Roman"/>
          <w:noProof/>
          <w:sz w:val="24"/>
          <w:szCs w:val="24"/>
          <w:lang w:val="en-US"/>
        </w:rPr>
        <w:t xml:space="preserve"> Directive has shown </w:t>
      </w:r>
      <w:r w:rsidR="00943A2D" w:rsidRPr="00172619">
        <w:rPr>
          <w:rFonts w:ascii="Times New Roman" w:hAnsi="Times New Roman" w:cs="Times New Roman"/>
          <w:noProof/>
          <w:sz w:val="24"/>
          <w:szCs w:val="24"/>
          <w:lang w:val="en-US"/>
        </w:rPr>
        <w:t>misalignment</w:t>
      </w:r>
      <w:r w:rsidR="00787B28" w:rsidRPr="00172619">
        <w:rPr>
          <w:rFonts w:ascii="Times New Roman" w:hAnsi="Times New Roman" w:cs="Times New Roman"/>
          <w:noProof/>
          <w:sz w:val="24"/>
          <w:szCs w:val="24"/>
          <w:lang w:val="en-US"/>
        </w:rPr>
        <w:t xml:space="preserve"> with </w:t>
      </w:r>
      <w:r w:rsidR="009828A9" w:rsidRPr="00172619">
        <w:rPr>
          <w:rFonts w:ascii="Times New Roman" w:hAnsi="Times New Roman" w:cs="Times New Roman"/>
          <w:noProof/>
          <w:sz w:val="24"/>
          <w:szCs w:val="24"/>
          <w:lang w:val="en-US"/>
        </w:rPr>
        <w:t xml:space="preserve">newly adopted EU criminal legislation, such as Directive </w:t>
      </w:r>
      <w:r w:rsidR="00022297">
        <w:rPr>
          <w:rFonts w:ascii="Times New Roman" w:hAnsi="Times New Roman" w:cs="Times New Roman"/>
          <w:noProof/>
          <w:sz w:val="24"/>
          <w:szCs w:val="24"/>
          <w:lang w:val="en-US"/>
        </w:rPr>
        <w:t xml:space="preserve">(EU) </w:t>
      </w:r>
      <w:r w:rsidR="009828A9" w:rsidRPr="00172619">
        <w:rPr>
          <w:rFonts w:ascii="Times New Roman" w:hAnsi="Times New Roman" w:cs="Times New Roman"/>
          <w:noProof/>
          <w:sz w:val="24"/>
          <w:szCs w:val="24"/>
          <w:lang w:val="en-US"/>
        </w:rPr>
        <w:t>2024/1203 on the protection of the environment through criminal law</w:t>
      </w:r>
      <w:r w:rsidR="00A05D75">
        <w:rPr>
          <w:rStyle w:val="FootnoteReference"/>
          <w:rFonts w:ascii="Times New Roman" w:hAnsi="Times New Roman" w:cs="Times New Roman"/>
          <w:noProof/>
          <w:szCs w:val="24"/>
          <w:lang w:val="en-US"/>
        </w:rPr>
        <w:footnoteReference w:id="76"/>
      </w:r>
      <w:r w:rsidR="00676234">
        <w:rPr>
          <w:rFonts w:ascii="Times New Roman" w:hAnsi="Times New Roman" w:cs="Times New Roman"/>
          <w:noProof/>
          <w:sz w:val="24"/>
          <w:szCs w:val="24"/>
          <w:lang w:val="en-US"/>
        </w:rPr>
        <w:t xml:space="preserve"> and Directive (EU) 2024/1226 on the violation of Union restrictive measures</w:t>
      </w:r>
      <w:r w:rsidR="00A05D75">
        <w:rPr>
          <w:rStyle w:val="FootnoteReference"/>
          <w:rFonts w:ascii="Times New Roman" w:hAnsi="Times New Roman" w:cs="Times New Roman"/>
          <w:noProof/>
          <w:szCs w:val="24"/>
          <w:lang w:val="en-US"/>
        </w:rPr>
        <w:footnoteReference w:id="77"/>
      </w:r>
      <w:r w:rsidR="00D71DED">
        <w:rPr>
          <w:rFonts w:ascii="Times New Roman" w:hAnsi="Times New Roman" w:cs="Times New Roman"/>
          <w:noProof/>
          <w:sz w:val="24"/>
          <w:szCs w:val="24"/>
          <w:lang w:val="en-US"/>
        </w:rPr>
        <w:t xml:space="preserve">. Compared </w:t>
      </w:r>
      <w:r w:rsidR="00A82FA9">
        <w:rPr>
          <w:rFonts w:ascii="Times New Roman" w:hAnsi="Times New Roman" w:cs="Times New Roman"/>
          <w:noProof/>
          <w:sz w:val="24"/>
          <w:szCs w:val="24"/>
          <w:lang w:val="en-US"/>
        </w:rPr>
        <w:t xml:space="preserve">with </w:t>
      </w:r>
      <w:r w:rsidR="00D71DED">
        <w:rPr>
          <w:rFonts w:ascii="Times New Roman" w:hAnsi="Times New Roman" w:cs="Times New Roman"/>
          <w:noProof/>
          <w:sz w:val="24"/>
          <w:szCs w:val="24"/>
          <w:lang w:val="en-US"/>
        </w:rPr>
        <w:t>these recent</w:t>
      </w:r>
      <w:r w:rsidR="009F71B3">
        <w:rPr>
          <w:rFonts w:ascii="Times New Roman" w:hAnsi="Times New Roman" w:cs="Times New Roman"/>
          <w:noProof/>
          <w:sz w:val="24"/>
          <w:szCs w:val="24"/>
          <w:lang w:val="en-US"/>
        </w:rPr>
        <w:t>ly adopted</w:t>
      </w:r>
      <w:r w:rsidR="00D71DED">
        <w:rPr>
          <w:rFonts w:ascii="Times New Roman" w:hAnsi="Times New Roman" w:cs="Times New Roman"/>
          <w:noProof/>
          <w:sz w:val="24"/>
          <w:szCs w:val="24"/>
          <w:lang w:val="en-US"/>
        </w:rPr>
        <w:t xml:space="preserve"> instruments, the Directive does not list the </w:t>
      </w:r>
      <w:r w:rsidR="004C7257">
        <w:rPr>
          <w:rFonts w:ascii="Times New Roman" w:hAnsi="Times New Roman" w:cs="Times New Roman"/>
          <w:noProof/>
          <w:sz w:val="24"/>
          <w:szCs w:val="24"/>
          <w:lang w:val="en-US"/>
        </w:rPr>
        <w:t xml:space="preserve">penalties </w:t>
      </w:r>
      <w:r w:rsidR="00667A97">
        <w:rPr>
          <w:rFonts w:ascii="Times New Roman" w:hAnsi="Times New Roman" w:cs="Times New Roman"/>
          <w:noProof/>
          <w:sz w:val="24"/>
          <w:szCs w:val="24"/>
          <w:lang w:val="en-US"/>
        </w:rPr>
        <w:t xml:space="preserve">that can be applied to natural persons </w:t>
      </w:r>
      <w:r w:rsidR="00B32A3A">
        <w:rPr>
          <w:rFonts w:ascii="Times New Roman" w:hAnsi="Times New Roman" w:cs="Times New Roman"/>
          <w:noProof/>
          <w:sz w:val="24"/>
          <w:szCs w:val="24"/>
          <w:lang w:val="en-US"/>
        </w:rPr>
        <w:t>in addition to</w:t>
      </w:r>
      <w:r w:rsidR="00667A97">
        <w:rPr>
          <w:rFonts w:ascii="Times New Roman" w:hAnsi="Times New Roman" w:cs="Times New Roman"/>
          <w:noProof/>
          <w:sz w:val="24"/>
          <w:szCs w:val="24"/>
          <w:lang w:val="en-US"/>
        </w:rPr>
        <w:t xml:space="preserve"> </w:t>
      </w:r>
      <w:r w:rsidR="004C7257">
        <w:rPr>
          <w:rFonts w:ascii="Times New Roman" w:hAnsi="Times New Roman" w:cs="Times New Roman"/>
          <w:noProof/>
          <w:sz w:val="24"/>
          <w:szCs w:val="24"/>
          <w:lang w:val="en-US"/>
        </w:rPr>
        <w:t>imprisonment</w:t>
      </w:r>
      <w:r w:rsidR="00667A97">
        <w:rPr>
          <w:rFonts w:ascii="Times New Roman" w:hAnsi="Times New Roman" w:cs="Times New Roman"/>
          <w:noProof/>
          <w:sz w:val="24"/>
          <w:szCs w:val="24"/>
          <w:lang w:val="en-US"/>
        </w:rPr>
        <w:t xml:space="preserve">, </w:t>
      </w:r>
      <w:r w:rsidR="00667A97" w:rsidRPr="00F46C32">
        <w:rPr>
          <w:rFonts w:ascii="Times New Roman" w:hAnsi="Times New Roman" w:cs="Times New Roman"/>
          <w:noProof/>
          <w:sz w:val="24"/>
          <w:szCs w:val="24"/>
          <w:lang w:val="en-US"/>
        </w:rPr>
        <w:t xml:space="preserve">and </w:t>
      </w:r>
      <w:r w:rsidR="00FD7FF0" w:rsidRPr="00F46C32">
        <w:rPr>
          <w:rFonts w:ascii="Times New Roman" w:hAnsi="Times New Roman" w:cs="Times New Roman"/>
          <w:noProof/>
          <w:sz w:val="24"/>
          <w:szCs w:val="24"/>
          <w:lang w:val="en-US"/>
        </w:rPr>
        <w:t xml:space="preserve">for legal person it does not define </w:t>
      </w:r>
      <w:r w:rsidR="00833A68" w:rsidRPr="00F46C32">
        <w:rPr>
          <w:rFonts w:ascii="Times New Roman" w:hAnsi="Times New Roman" w:cs="Times New Roman"/>
          <w:noProof/>
          <w:sz w:val="24"/>
          <w:szCs w:val="24"/>
          <w:lang w:val="en-US"/>
        </w:rPr>
        <w:t xml:space="preserve">in sufficient detail the </w:t>
      </w:r>
      <w:r w:rsidR="004C7257">
        <w:rPr>
          <w:rFonts w:ascii="Times New Roman" w:hAnsi="Times New Roman" w:cs="Times New Roman"/>
          <w:noProof/>
          <w:sz w:val="24"/>
          <w:szCs w:val="24"/>
          <w:lang w:val="en-US"/>
        </w:rPr>
        <w:t xml:space="preserve">calculation of the fines and additional </w:t>
      </w:r>
      <w:r w:rsidR="00C27ED1" w:rsidRPr="00F46C32">
        <w:rPr>
          <w:rFonts w:ascii="Times New Roman" w:hAnsi="Times New Roman" w:cs="Times New Roman"/>
          <w:noProof/>
          <w:sz w:val="24"/>
          <w:szCs w:val="24"/>
          <w:lang w:val="en-US"/>
        </w:rPr>
        <w:t>sanctions that Member States may apply</w:t>
      </w:r>
      <w:r w:rsidR="2FCEF73F" w:rsidRPr="00F46C32">
        <w:rPr>
          <w:rFonts w:ascii="Times New Roman" w:hAnsi="Times New Roman" w:cs="Times New Roman"/>
          <w:noProof/>
          <w:sz w:val="24"/>
          <w:szCs w:val="24"/>
          <w:lang w:val="en-US"/>
        </w:rPr>
        <w:t xml:space="preserve"> </w:t>
      </w:r>
      <w:r w:rsidR="006261CC">
        <w:rPr>
          <w:rFonts w:ascii="Times New Roman" w:hAnsi="Times New Roman" w:cs="Times New Roman"/>
          <w:noProof/>
          <w:sz w:val="24"/>
          <w:szCs w:val="24"/>
          <w:lang w:val="en-US"/>
        </w:rPr>
        <w:t xml:space="preserve">and </w:t>
      </w:r>
      <w:r w:rsidR="00513345">
        <w:rPr>
          <w:rFonts w:ascii="Times New Roman" w:hAnsi="Times New Roman" w:cs="Times New Roman"/>
          <w:noProof/>
          <w:sz w:val="24"/>
          <w:szCs w:val="24"/>
          <w:lang w:val="en-US"/>
        </w:rPr>
        <w:t>they</w:t>
      </w:r>
      <w:r w:rsidR="004A28D4">
        <w:rPr>
          <w:rFonts w:ascii="Times New Roman" w:hAnsi="Times New Roman" w:cs="Times New Roman"/>
          <w:noProof/>
          <w:sz w:val="24"/>
          <w:szCs w:val="24"/>
          <w:lang w:val="en-US"/>
        </w:rPr>
        <w:t xml:space="preserve"> </w:t>
      </w:r>
      <w:r w:rsidR="00D15E6C" w:rsidRPr="008A47B8">
        <w:rPr>
          <w:rFonts w:ascii="Times New Roman" w:hAnsi="Times New Roman" w:cs="Times New Roman"/>
          <w:noProof/>
          <w:sz w:val="24"/>
          <w:szCs w:val="24"/>
          <w:lang w:val="en-US"/>
        </w:rPr>
        <w:t>are</w:t>
      </w:r>
      <w:r w:rsidR="407809E1" w:rsidRPr="00F46C32">
        <w:rPr>
          <w:rFonts w:ascii="Times New Roman" w:hAnsi="Times New Roman" w:cs="Times New Roman"/>
          <w:noProof/>
          <w:sz w:val="24"/>
          <w:szCs w:val="24"/>
          <w:lang w:val="en-US"/>
        </w:rPr>
        <w:t>, unlike in most recent instruments,</w:t>
      </w:r>
      <w:r w:rsidR="00C27ED1" w:rsidRPr="00F46C32">
        <w:rPr>
          <w:rFonts w:ascii="Times New Roman" w:hAnsi="Times New Roman" w:cs="Times New Roman"/>
          <w:noProof/>
          <w:sz w:val="24"/>
          <w:szCs w:val="24"/>
          <w:lang w:val="en-US"/>
        </w:rPr>
        <w:t xml:space="preserve"> </w:t>
      </w:r>
      <w:r w:rsidR="00B32A3A" w:rsidRPr="00F46C32">
        <w:rPr>
          <w:rFonts w:ascii="Times New Roman" w:hAnsi="Times New Roman" w:cs="Times New Roman"/>
          <w:noProof/>
          <w:sz w:val="24"/>
          <w:szCs w:val="24"/>
          <w:lang w:val="en-US"/>
        </w:rPr>
        <w:t>only optional</w:t>
      </w:r>
      <w:r w:rsidR="00F46C32" w:rsidRPr="008A47B8">
        <w:rPr>
          <w:rFonts w:ascii="Times New Roman" w:hAnsi="Times New Roman" w:cs="Times New Roman"/>
          <w:noProof/>
          <w:sz w:val="24"/>
          <w:szCs w:val="24"/>
          <w:lang w:val="en-US"/>
        </w:rPr>
        <w:t>.</w:t>
      </w:r>
    </w:p>
    <w:p w14:paraId="6B8AC027" w14:textId="2A7116FF" w:rsidR="00D25497" w:rsidRDefault="00D25497" w:rsidP="00D25497">
      <w:pPr>
        <w:jc w:val="both"/>
        <w:rPr>
          <w:rFonts w:ascii="Times New Roman" w:hAnsi="Times New Roman" w:cs="Times New Roman"/>
          <w:noProof/>
          <w:sz w:val="24"/>
          <w:szCs w:val="24"/>
          <w:lang w:val="en-US"/>
        </w:rPr>
      </w:pPr>
      <w:r w:rsidRPr="76D071DD">
        <w:rPr>
          <w:rFonts w:ascii="Times New Roman" w:hAnsi="Times New Roman" w:cs="Times New Roman"/>
          <w:noProof/>
          <w:sz w:val="24"/>
          <w:szCs w:val="24"/>
          <w:lang w:val="en-US"/>
        </w:rPr>
        <w:t xml:space="preserve">Similarly, stakeholders report that the </w:t>
      </w:r>
      <w:r w:rsidRPr="76D071DD">
        <w:rPr>
          <w:rFonts w:ascii="Times New Roman" w:hAnsi="Times New Roman" w:cs="Times New Roman"/>
          <w:b/>
          <w:bCs/>
          <w:noProof/>
          <w:sz w:val="24"/>
          <w:szCs w:val="24"/>
          <w:lang w:val="en-US"/>
        </w:rPr>
        <w:t xml:space="preserve">definition of </w:t>
      </w:r>
      <w:r w:rsidR="00A82FA9">
        <w:rPr>
          <w:rFonts w:ascii="Times New Roman" w:hAnsi="Times New Roman" w:cs="Times New Roman"/>
          <w:b/>
          <w:bCs/>
          <w:noProof/>
          <w:sz w:val="24"/>
          <w:szCs w:val="24"/>
          <w:lang w:val="en-US"/>
        </w:rPr>
        <w:t>‘</w:t>
      </w:r>
      <w:r w:rsidRPr="76D071DD">
        <w:rPr>
          <w:rFonts w:ascii="Times New Roman" w:hAnsi="Times New Roman" w:cs="Times New Roman"/>
          <w:b/>
          <w:bCs/>
          <w:noProof/>
          <w:sz w:val="24"/>
          <w:szCs w:val="24"/>
          <w:lang w:val="en-US"/>
        </w:rPr>
        <w:t>property</w:t>
      </w:r>
      <w:r w:rsidR="00A82FA9">
        <w:rPr>
          <w:rFonts w:ascii="Times New Roman" w:hAnsi="Times New Roman" w:cs="Times New Roman"/>
          <w:b/>
          <w:bCs/>
          <w:noProof/>
          <w:sz w:val="24"/>
          <w:szCs w:val="24"/>
          <w:lang w:val="en-US"/>
        </w:rPr>
        <w:t>’</w:t>
      </w:r>
      <w:r w:rsidRPr="76D071DD">
        <w:rPr>
          <w:rFonts w:ascii="Times New Roman" w:hAnsi="Times New Roman" w:cs="Times New Roman"/>
          <w:noProof/>
          <w:sz w:val="24"/>
          <w:szCs w:val="24"/>
          <w:lang w:val="en-US"/>
        </w:rPr>
        <w:t xml:space="preserve"> under the Directive is applied inconsistently across Member States. Although the Directive defines property broadly, it does not explicitly refer to all types of illicit </w:t>
      </w:r>
      <w:r w:rsidR="005055D6">
        <w:rPr>
          <w:rFonts w:ascii="Times New Roman" w:hAnsi="Times New Roman" w:cs="Times New Roman"/>
          <w:noProof/>
          <w:sz w:val="24"/>
          <w:szCs w:val="24"/>
          <w:lang w:val="en-US"/>
        </w:rPr>
        <w:t>economic advantages</w:t>
      </w:r>
      <w:r w:rsidRPr="76D071DD">
        <w:rPr>
          <w:rFonts w:ascii="Times New Roman" w:hAnsi="Times New Roman" w:cs="Times New Roman"/>
          <w:noProof/>
          <w:sz w:val="24"/>
          <w:szCs w:val="24"/>
          <w:lang w:val="en-US"/>
        </w:rPr>
        <w:t>, such as cost savings or indirect proceeds from criminal activities.</w:t>
      </w:r>
      <w:r w:rsidR="006258EE">
        <w:rPr>
          <w:rFonts w:ascii="Times New Roman" w:hAnsi="Times New Roman" w:cs="Times New Roman"/>
          <w:noProof/>
          <w:sz w:val="24"/>
          <w:szCs w:val="24"/>
          <w:lang w:val="en-US"/>
        </w:rPr>
        <w:t xml:space="preserve"> </w:t>
      </w:r>
      <w:r w:rsidRPr="76D071DD">
        <w:rPr>
          <w:rFonts w:ascii="Times New Roman" w:hAnsi="Times New Roman" w:cs="Times New Roman"/>
          <w:noProof/>
          <w:sz w:val="24"/>
          <w:szCs w:val="24"/>
          <w:lang w:val="en-US"/>
        </w:rPr>
        <w:t>This leads to uncertainty concerning the interpretation of the scope of the Directive and its consistent implementation across Member States. It also makes it difficult to identify, freeze and confiscate criminal assets.</w:t>
      </w:r>
    </w:p>
    <w:p w14:paraId="276B284C" w14:textId="7FA22FF2" w:rsidR="00F77BA4" w:rsidRDefault="00F62E81" w:rsidP="00F77BA4">
      <w:pPr>
        <w:spacing w:after="0"/>
        <w:jc w:val="both"/>
        <w:rPr>
          <w:rFonts w:ascii="Times New Roman" w:hAnsi="Times New Roman" w:cs="Times New Roman"/>
          <w:noProof/>
          <w:sz w:val="24"/>
          <w:szCs w:val="24"/>
          <w:lang w:val="en-US"/>
        </w:rPr>
      </w:pPr>
      <w:r w:rsidRPr="00C520A7">
        <w:rPr>
          <w:rFonts w:ascii="Times New Roman" w:hAnsi="Times New Roman" w:cs="Times New Roman"/>
          <w:noProof/>
          <w:sz w:val="24"/>
          <w:szCs w:val="24"/>
          <w:lang w:val="en-IE"/>
        </w:rPr>
        <w:t xml:space="preserve">While there is general </w:t>
      </w:r>
      <w:r w:rsidR="006258EE" w:rsidRPr="00C520A7">
        <w:rPr>
          <w:rFonts w:ascii="Times New Roman" w:hAnsi="Times New Roman" w:cs="Times New Roman"/>
          <w:noProof/>
          <w:sz w:val="24"/>
          <w:szCs w:val="24"/>
          <w:lang w:val="en-IE"/>
        </w:rPr>
        <w:t>consistency</w:t>
      </w:r>
      <w:r w:rsidR="006A2E90" w:rsidRPr="00C520A7">
        <w:rPr>
          <w:rFonts w:ascii="Times New Roman" w:hAnsi="Times New Roman" w:cs="Times New Roman"/>
          <w:noProof/>
          <w:sz w:val="24"/>
          <w:szCs w:val="24"/>
          <w:lang w:val="en-IE"/>
        </w:rPr>
        <w:t xml:space="preserve">, as described above, </w:t>
      </w:r>
      <w:r w:rsidR="00183891" w:rsidRPr="00C520A7">
        <w:rPr>
          <w:rFonts w:ascii="Times New Roman" w:hAnsi="Times New Roman" w:cs="Times New Roman"/>
          <w:noProof/>
          <w:sz w:val="24"/>
          <w:szCs w:val="24"/>
          <w:lang w:val="en-IE"/>
        </w:rPr>
        <w:t>the evaluation points to minor inconsistencies with</w:t>
      </w:r>
      <w:r w:rsidR="00183891" w:rsidRPr="00575CC5">
        <w:rPr>
          <w:rFonts w:ascii="Times New Roman" w:hAnsi="Times New Roman" w:cs="Times New Roman"/>
          <w:noProof/>
          <w:sz w:val="24"/>
          <w:szCs w:val="24"/>
          <w:lang w:val="en-IE"/>
        </w:rPr>
        <w:t xml:space="preserve"> </w:t>
      </w:r>
      <w:r w:rsidR="008E63A4" w:rsidRPr="00575CC5">
        <w:rPr>
          <w:rFonts w:ascii="Times New Roman" w:hAnsi="Times New Roman" w:cs="Times New Roman"/>
          <w:noProof/>
          <w:sz w:val="24"/>
          <w:szCs w:val="24"/>
          <w:lang w:val="en-US"/>
        </w:rPr>
        <w:t>the Council of Europe Warsaw Convention</w:t>
      </w:r>
      <w:r w:rsidR="008E63A4" w:rsidRPr="00575CC5">
        <w:rPr>
          <w:rFonts w:ascii="Times New Roman" w:hAnsi="Times New Roman" w:cs="Times New Roman"/>
          <w:noProof/>
          <w:sz w:val="24"/>
          <w:szCs w:val="24"/>
          <w:vertAlign w:val="superscript"/>
          <w:lang w:val="en-US"/>
        </w:rPr>
        <w:footnoteReference w:id="78"/>
      </w:r>
      <w:r w:rsidR="008E63A4" w:rsidRPr="00575CC5">
        <w:rPr>
          <w:rFonts w:ascii="Times New Roman" w:hAnsi="Times New Roman" w:cs="Times New Roman"/>
          <w:noProof/>
          <w:sz w:val="24"/>
          <w:szCs w:val="24"/>
          <w:lang w:val="en-US"/>
        </w:rPr>
        <w:t xml:space="preserve">, and </w:t>
      </w:r>
      <w:r w:rsidR="00F77BA4" w:rsidRPr="00575CC5">
        <w:rPr>
          <w:rFonts w:ascii="Times New Roman" w:hAnsi="Times New Roman" w:cs="Times New Roman"/>
          <w:noProof/>
          <w:sz w:val="24"/>
          <w:szCs w:val="24"/>
          <w:lang w:val="en-US"/>
        </w:rPr>
        <w:t>some gaps as compared to the most recent criminal law directives</w:t>
      </w:r>
      <w:r w:rsidR="008E63A4" w:rsidRPr="00575CC5">
        <w:rPr>
          <w:rFonts w:ascii="Times New Roman" w:hAnsi="Times New Roman" w:cs="Times New Roman"/>
          <w:noProof/>
          <w:sz w:val="24"/>
          <w:szCs w:val="24"/>
          <w:lang w:val="en-US"/>
        </w:rPr>
        <w:t>.</w:t>
      </w:r>
      <w:r w:rsidR="006A2E90">
        <w:rPr>
          <w:rFonts w:ascii="Times New Roman" w:hAnsi="Times New Roman" w:cs="Times New Roman"/>
          <w:noProof/>
          <w:sz w:val="24"/>
          <w:szCs w:val="24"/>
          <w:lang w:val="en-US"/>
        </w:rPr>
        <w:t xml:space="preserve"> These inconsistencies can lead to confusion in the application of the </w:t>
      </w:r>
      <w:r w:rsidR="00252797">
        <w:rPr>
          <w:rFonts w:ascii="Times New Roman" w:hAnsi="Times New Roman" w:cs="Times New Roman"/>
          <w:noProof/>
          <w:sz w:val="24"/>
          <w:szCs w:val="24"/>
          <w:lang w:val="en-US"/>
        </w:rPr>
        <w:t>legal frameworks and can lead to a non-uniform application of law</w:t>
      </w:r>
      <w:r w:rsidR="00E52E0C">
        <w:rPr>
          <w:rFonts w:ascii="Times New Roman" w:hAnsi="Times New Roman" w:cs="Times New Roman"/>
          <w:noProof/>
          <w:sz w:val="24"/>
          <w:szCs w:val="24"/>
          <w:lang w:val="en-US"/>
        </w:rPr>
        <w:t xml:space="preserve"> and should be addressed.</w:t>
      </w:r>
    </w:p>
    <w:p w14:paraId="3E0E46A2" w14:textId="77777777" w:rsidR="00E52E0C" w:rsidRDefault="00E52E0C" w:rsidP="00F77BA4">
      <w:pPr>
        <w:spacing w:after="0"/>
        <w:jc w:val="both"/>
        <w:rPr>
          <w:rFonts w:ascii="Times New Roman" w:hAnsi="Times New Roman" w:cs="Times New Roman"/>
          <w:noProof/>
          <w:sz w:val="24"/>
          <w:szCs w:val="24"/>
          <w:lang w:val="en-US"/>
        </w:rPr>
      </w:pPr>
    </w:p>
    <w:p w14:paraId="465456B7" w14:textId="38E3DF0B" w:rsidR="00E52E0C" w:rsidRPr="00575CC5" w:rsidRDefault="00E52E0C" w:rsidP="00F77BA4">
      <w:pPr>
        <w:spacing w:after="0"/>
        <w:jc w:val="both"/>
        <w:rPr>
          <w:rFonts w:ascii="Times New Roman" w:hAnsi="Times New Roman" w:cs="Times New Roman"/>
          <w:noProof/>
          <w:sz w:val="24"/>
          <w:szCs w:val="24"/>
        </w:rPr>
      </w:pPr>
      <w:r>
        <w:rPr>
          <w:rFonts w:ascii="Times New Roman" w:eastAsia="Times New Roman" w:hAnsi="Times New Roman" w:cs="Times New Roman"/>
          <w:noProof/>
          <w:sz w:val="24"/>
          <w:szCs w:val="24"/>
        </w:rPr>
        <w:t>Furthermore, it</w:t>
      </w:r>
      <w:r w:rsidRPr="002B7327">
        <w:rPr>
          <w:rFonts w:ascii="Times New Roman" w:eastAsia="Times New Roman" w:hAnsi="Times New Roman" w:cs="Times New Roman"/>
          <w:noProof/>
          <w:sz w:val="24"/>
          <w:szCs w:val="24"/>
        </w:rPr>
        <w:t xml:space="preserve"> would be beneficial if Member States consistently monitor aspects </w:t>
      </w:r>
      <w:r>
        <w:rPr>
          <w:rFonts w:ascii="Times New Roman" w:eastAsia="Times New Roman" w:hAnsi="Times New Roman" w:cs="Times New Roman"/>
          <w:noProof/>
          <w:sz w:val="24"/>
          <w:szCs w:val="24"/>
        </w:rPr>
        <w:t xml:space="preserve">such as </w:t>
      </w:r>
      <w:r w:rsidRPr="002B7327">
        <w:rPr>
          <w:rFonts w:ascii="Times New Roman" w:eastAsia="Times New Roman" w:hAnsi="Times New Roman" w:cs="Times New Roman"/>
          <w:noProof/>
          <w:sz w:val="24"/>
          <w:szCs w:val="24"/>
        </w:rPr>
        <w:t xml:space="preserve">the costs or burdens </w:t>
      </w:r>
      <w:r w:rsidR="006258EE">
        <w:rPr>
          <w:rFonts w:ascii="Times New Roman" w:eastAsia="Times New Roman" w:hAnsi="Times New Roman" w:cs="Times New Roman"/>
          <w:noProof/>
          <w:sz w:val="24"/>
          <w:szCs w:val="24"/>
        </w:rPr>
        <w:t>associated with</w:t>
      </w:r>
      <w:r w:rsidR="00120C7C">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implement</w:t>
      </w:r>
      <w:r w:rsidR="00120C7C">
        <w:rPr>
          <w:rFonts w:ascii="Times New Roman" w:eastAsia="Times New Roman" w:hAnsi="Times New Roman" w:cs="Times New Roman"/>
          <w:noProof/>
          <w:sz w:val="24"/>
          <w:szCs w:val="24"/>
        </w:rPr>
        <w:t>ing</w:t>
      </w:r>
      <w:r>
        <w:rPr>
          <w:rFonts w:ascii="Times New Roman" w:eastAsia="Times New Roman" w:hAnsi="Times New Roman" w:cs="Times New Roman"/>
          <w:noProof/>
          <w:sz w:val="24"/>
          <w:szCs w:val="24"/>
        </w:rPr>
        <w:t xml:space="preserve"> of the Directive or case data regarding investigations into newly created offences</w:t>
      </w:r>
      <w:r w:rsidRPr="002B7327">
        <w:rPr>
          <w:rFonts w:ascii="Times New Roman" w:eastAsia="Times New Roman" w:hAnsi="Times New Roman" w:cs="Times New Roman"/>
          <w:noProof/>
          <w:sz w:val="24"/>
          <w:szCs w:val="24"/>
        </w:rPr>
        <w:t>. This would enhance both the Member States’ as well as the Commission’s ability to evaluate the functioning of the Directive</w:t>
      </w:r>
      <w:r>
        <w:rPr>
          <w:rFonts w:ascii="Times New Roman" w:eastAsia="Times New Roman" w:hAnsi="Times New Roman" w:cs="Times New Roman"/>
          <w:noProof/>
          <w:sz w:val="24"/>
          <w:szCs w:val="24"/>
        </w:rPr>
        <w:t xml:space="preserve"> in the future</w:t>
      </w:r>
      <w:r w:rsidRPr="002B7327">
        <w:rPr>
          <w:rFonts w:ascii="Times New Roman" w:eastAsia="Times New Roman" w:hAnsi="Times New Roman" w:cs="Times New Roman"/>
          <w:noProof/>
          <w:sz w:val="24"/>
          <w:szCs w:val="24"/>
        </w:rPr>
        <w:t>.</w:t>
      </w:r>
      <w:r>
        <w:rPr>
          <w:rFonts w:ascii="Times New Roman" w:hAnsi="Times New Roman" w:cs="Times New Roman"/>
          <w:noProof/>
          <w:color w:val="000000" w:themeColor="text1"/>
          <w:sz w:val="24"/>
          <w:szCs w:val="24"/>
        </w:rPr>
        <w:tab/>
      </w:r>
    </w:p>
    <w:p w14:paraId="26DABBB4" w14:textId="77777777" w:rsidR="003F2EC0" w:rsidRPr="00575CC5" w:rsidRDefault="003F2EC0" w:rsidP="00161031">
      <w:pPr>
        <w:spacing w:after="0"/>
        <w:jc w:val="both"/>
        <w:rPr>
          <w:rFonts w:ascii="Times New Roman" w:hAnsi="Times New Roman" w:cs="Times New Roman"/>
          <w:noProof/>
          <w:sz w:val="24"/>
          <w:szCs w:val="24"/>
          <w:lang w:val="en-US"/>
        </w:rPr>
      </w:pPr>
    </w:p>
    <w:p w14:paraId="5CA33E0A" w14:textId="1EEC410F" w:rsidR="009706EA" w:rsidRPr="00575CC5" w:rsidRDefault="009706EA" w:rsidP="00161031">
      <w:pPr>
        <w:jc w:val="both"/>
        <w:rPr>
          <w:rFonts w:ascii="Times New Roman" w:hAnsi="Times New Roman" w:cs="Times New Roman"/>
          <w:noProof/>
          <w:sz w:val="24"/>
          <w:szCs w:val="24"/>
          <w:lang w:val="en-US"/>
        </w:rPr>
        <w:sectPr w:rsidR="009706EA" w:rsidRPr="00575CC5" w:rsidSect="00161031">
          <w:headerReference w:type="even" r:id="rId34"/>
          <w:headerReference w:type="default" r:id="rId35"/>
          <w:footerReference w:type="even" r:id="rId36"/>
          <w:footerReference w:type="default" r:id="rId37"/>
          <w:headerReference w:type="first" r:id="rId38"/>
          <w:footerReference w:type="first" r:id="rId39"/>
          <w:pgSz w:w="11906" w:h="16838"/>
          <w:pgMar w:top="1020" w:right="1701" w:bottom="1020" w:left="1560" w:header="601" w:footer="1077" w:gutter="0"/>
          <w:cols w:space="720"/>
          <w:titlePg/>
        </w:sectPr>
      </w:pPr>
    </w:p>
    <w:p w14:paraId="33F15230" w14:textId="0C8A5CD5" w:rsidR="008530D4" w:rsidRPr="00575CC5" w:rsidRDefault="008530D4"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60" w:name="_Toc481484483"/>
      <w:bookmarkStart w:id="61" w:name="_Toc223439262"/>
      <w:r w:rsidRPr="00575CC5">
        <w:rPr>
          <w:noProof/>
          <w:szCs w:val="24"/>
        </w:rPr>
        <w:t xml:space="preserve">Annex </w:t>
      </w:r>
      <w:r w:rsidR="00E71F52" w:rsidRPr="00575CC5">
        <w:rPr>
          <w:noProof/>
          <w:szCs w:val="24"/>
        </w:rPr>
        <w:t>I</w:t>
      </w:r>
      <w:r w:rsidR="00B05454">
        <w:rPr>
          <w:noProof/>
          <w:szCs w:val="24"/>
        </w:rPr>
        <w:t>.</w:t>
      </w:r>
      <w:r w:rsidR="00147D71" w:rsidRPr="00575CC5">
        <w:rPr>
          <w:noProof/>
          <w:szCs w:val="24"/>
        </w:rPr>
        <w:t xml:space="preserve"> </w:t>
      </w:r>
      <w:r w:rsidRPr="00575CC5">
        <w:rPr>
          <w:noProof/>
          <w:szCs w:val="24"/>
        </w:rPr>
        <w:t xml:space="preserve">Procedural </w:t>
      </w:r>
      <w:r w:rsidR="00147D71" w:rsidRPr="00575CC5">
        <w:rPr>
          <w:noProof/>
          <w:szCs w:val="24"/>
        </w:rPr>
        <w:t>Information</w:t>
      </w:r>
      <w:bookmarkEnd w:id="60"/>
      <w:bookmarkEnd w:id="61"/>
    </w:p>
    <w:p w14:paraId="55F3F81B" w14:textId="691D62CE" w:rsidR="001B57A7" w:rsidRPr="00575CC5" w:rsidRDefault="001B57A7" w:rsidP="008A47B8">
      <w:pPr>
        <w:pStyle w:val="Heading2"/>
        <w:rPr>
          <w:noProof/>
          <w:lang w:val="en-IE"/>
        </w:rPr>
      </w:pPr>
      <w:bookmarkStart w:id="62" w:name="_Toc223439263"/>
      <w:r w:rsidRPr="00575CC5">
        <w:rPr>
          <w:noProof/>
          <w:lang w:val="en-IE"/>
        </w:rPr>
        <w:t xml:space="preserve">1. </w:t>
      </w:r>
      <w:bookmarkStart w:id="63" w:name="_Toc471997754"/>
      <w:bookmarkStart w:id="64" w:name="_Toc481484484"/>
      <w:r w:rsidRPr="00575CC5">
        <w:rPr>
          <w:noProof/>
          <w:lang w:val="en-IE"/>
        </w:rPr>
        <w:t>Lead DG</w:t>
      </w:r>
      <w:bookmarkEnd w:id="63"/>
      <w:bookmarkEnd w:id="64"/>
      <w:bookmarkEnd w:id="62"/>
    </w:p>
    <w:p w14:paraId="0B820C30" w14:textId="18F08456" w:rsidR="001B57A7" w:rsidRPr="00575CC5" w:rsidRDefault="001B57A7" w:rsidP="00F02686">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Terms of Reference for engaging a contractor to carry out the external study as part of the evaluation were drawn up by DG Migration and Home Affairs (DG HOME). A request for service was issued on </w:t>
      </w:r>
      <w:r w:rsidR="009B095A">
        <w:rPr>
          <w:rFonts w:ascii="Times New Roman" w:hAnsi="Times New Roman" w:cs="Times New Roman"/>
          <w:noProof/>
          <w:sz w:val="24"/>
          <w:szCs w:val="24"/>
          <w:lang w:val="en-IE"/>
        </w:rPr>
        <w:t>1.8.2023</w:t>
      </w:r>
      <w:r w:rsidRPr="00575CC5">
        <w:rPr>
          <w:rFonts w:ascii="Times New Roman" w:hAnsi="Times New Roman" w:cs="Times New Roman"/>
          <w:noProof/>
          <w:sz w:val="24"/>
          <w:szCs w:val="24"/>
          <w:lang w:val="en-IE"/>
        </w:rPr>
        <w:t xml:space="preserve">, and a contractor selected by an evaluation committee </w:t>
      </w:r>
      <w:r w:rsidRPr="00B31EFC">
        <w:rPr>
          <w:rFonts w:ascii="Times New Roman" w:hAnsi="Times New Roman" w:cs="Times New Roman"/>
          <w:noProof/>
          <w:sz w:val="24"/>
          <w:szCs w:val="24"/>
          <w:lang w:val="en-IE"/>
        </w:rPr>
        <w:t>consisting of staff from DG HOME</w:t>
      </w:r>
      <w:r w:rsidRPr="00A56091">
        <w:rPr>
          <w:rFonts w:ascii="Times New Roman" w:hAnsi="Times New Roman" w:cs="Times New Roman"/>
          <w:noProof/>
          <w:sz w:val="24"/>
          <w:szCs w:val="24"/>
          <w:vertAlign w:val="superscript"/>
        </w:rPr>
        <w:footnoteReference w:id="79"/>
      </w:r>
      <w:r w:rsidRPr="00B31EFC">
        <w:rPr>
          <w:rFonts w:ascii="Times New Roman" w:hAnsi="Times New Roman" w:cs="Times New Roman"/>
          <w:noProof/>
          <w:sz w:val="24"/>
          <w:szCs w:val="24"/>
          <w:lang w:val="en-IE"/>
        </w:rPr>
        <w:t xml:space="preserve">. The study began on </w:t>
      </w:r>
      <w:r w:rsidR="00423890" w:rsidRPr="00A56091">
        <w:rPr>
          <w:rFonts w:ascii="Times New Roman" w:hAnsi="Times New Roman" w:cs="Times New Roman"/>
          <w:noProof/>
          <w:sz w:val="24"/>
          <w:szCs w:val="24"/>
          <w:lang w:val="en-IE"/>
        </w:rPr>
        <w:t>12 October 2023</w:t>
      </w:r>
      <w:r w:rsidR="00423890" w:rsidRPr="00B31EFC">
        <w:rPr>
          <w:rFonts w:ascii="Times New Roman" w:hAnsi="Times New Roman" w:cs="Times New Roman"/>
          <w:noProof/>
          <w:sz w:val="24"/>
          <w:szCs w:val="24"/>
          <w:lang w:val="en-IE"/>
        </w:rPr>
        <w:t xml:space="preserve"> </w:t>
      </w:r>
      <w:r w:rsidRPr="00B31EFC">
        <w:rPr>
          <w:rFonts w:ascii="Times New Roman" w:hAnsi="Times New Roman" w:cs="Times New Roman"/>
          <w:noProof/>
          <w:sz w:val="24"/>
          <w:szCs w:val="24"/>
          <w:lang w:val="en-IE"/>
        </w:rPr>
        <w:t xml:space="preserve">and ended on </w:t>
      </w:r>
      <w:r w:rsidR="00423890" w:rsidRPr="00A56091">
        <w:rPr>
          <w:rFonts w:ascii="Times New Roman" w:hAnsi="Times New Roman" w:cs="Times New Roman"/>
          <w:noProof/>
          <w:sz w:val="24"/>
          <w:szCs w:val="24"/>
          <w:lang w:val="en-IE"/>
        </w:rPr>
        <w:t>23 October 2024</w:t>
      </w:r>
      <w:r w:rsidRPr="00B31EFC">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w:t>
      </w:r>
      <w:bookmarkStart w:id="65" w:name="_Toc471997755"/>
      <w:bookmarkStart w:id="66" w:name="_Toc481484485"/>
    </w:p>
    <w:p w14:paraId="171A41E4" w14:textId="27646868" w:rsidR="001B57A7" w:rsidRPr="00575CC5" w:rsidRDefault="001B57A7" w:rsidP="008A47B8">
      <w:pPr>
        <w:pStyle w:val="Heading2"/>
        <w:rPr>
          <w:noProof/>
          <w:lang w:val="en-IE"/>
        </w:rPr>
      </w:pPr>
      <w:bookmarkStart w:id="67" w:name="_Toc223439264"/>
      <w:r w:rsidRPr="00575CC5">
        <w:rPr>
          <w:noProof/>
          <w:lang w:val="en-IE"/>
        </w:rPr>
        <w:t>2. Organisation and timing</w:t>
      </w:r>
      <w:bookmarkEnd w:id="65"/>
      <w:bookmarkEnd w:id="66"/>
      <w:bookmarkEnd w:id="67"/>
      <w:r w:rsidRPr="00575CC5">
        <w:rPr>
          <w:noProof/>
          <w:lang w:val="en-IE"/>
        </w:rPr>
        <w:tab/>
      </w:r>
    </w:p>
    <w:p w14:paraId="655E80FF" w14:textId="73165677" w:rsidR="001B57A7" w:rsidRPr="00575CC5" w:rsidRDefault="001B57A7" w:rsidP="00545C2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As per the Better Regulation Guidelines, an inter-service group was set up within the Commission to oversee the evaluation. Several Directorates-General (DGs) within the Commission</w:t>
      </w:r>
      <w:r w:rsidRPr="00575CC5">
        <w:rPr>
          <w:rFonts w:ascii="Times New Roman" w:hAnsi="Times New Roman" w:cs="Times New Roman"/>
          <w:noProof/>
          <w:sz w:val="24"/>
          <w:szCs w:val="24"/>
          <w:vertAlign w:val="superscript"/>
        </w:rPr>
        <w:footnoteReference w:id="80"/>
      </w:r>
      <w:r w:rsidRPr="00575CC5">
        <w:rPr>
          <w:rFonts w:ascii="Times New Roman" w:hAnsi="Times New Roman" w:cs="Times New Roman"/>
          <w:noProof/>
          <w:sz w:val="24"/>
          <w:szCs w:val="24"/>
          <w:lang w:val="en-IE"/>
        </w:rPr>
        <w:t xml:space="preserve"> were invited to nominate representatives to the steering group. </w:t>
      </w:r>
      <w:r w:rsidRPr="00575CC5">
        <w:rPr>
          <w:rFonts w:ascii="Times New Roman" w:hAnsi="Times New Roman" w:cs="Times New Roman"/>
          <w:noProof/>
          <w:sz w:val="24"/>
          <w:szCs w:val="24"/>
          <w:lang w:val="en-IE"/>
        </w:rPr>
        <w:br/>
        <w:t xml:space="preserve">The meetings of the inter-service group were chaired by DG HOME. The group was consulted over the course of the evaluation. The following list provides an overview of the steering group’s work over the course of the evaluation: </w:t>
      </w:r>
    </w:p>
    <w:p w14:paraId="7587A72D" w14:textId="33180A2E" w:rsidR="001B57A7" w:rsidRPr="00575CC5" w:rsidRDefault="001B57A7" w:rsidP="00545C2B">
      <w:pPr>
        <w:pStyle w:val="ListParagraph"/>
        <w:numPr>
          <w:ilvl w:val="0"/>
          <w:numId w:val="23"/>
        </w:numPr>
        <w:spacing w:after="200" w:line="276" w:lineRule="auto"/>
        <w:rPr>
          <w:noProof/>
          <w:szCs w:val="24"/>
        </w:rPr>
      </w:pPr>
      <w:r w:rsidRPr="00575CC5">
        <w:rPr>
          <w:noProof/>
          <w:szCs w:val="24"/>
        </w:rPr>
        <w:t>The inter-service group was convened for the first time on 12 July 2023 in order to receive initial information about and provide feedback on draft versions of the Terms of Reference for the external study and on the Call for Evidence</w:t>
      </w:r>
      <w:r w:rsidR="008A7ABE">
        <w:rPr>
          <w:noProof/>
          <w:szCs w:val="24"/>
        </w:rPr>
        <w:t>.</w:t>
      </w:r>
      <w:r w:rsidRPr="00575CC5">
        <w:rPr>
          <w:noProof/>
          <w:szCs w:val="24"/>
        </w:rPr>
        <w:t xml:space="preserve"> </w:t>
      </w:r>
      <w:r w:rsidRPr="00575CC5">
        <w:rPr>
          <w:noProof/>
          <w:szCs w:val="24"/>
        </w:rPr>
        <w:tab/>
      </w:r>
    </w:p>
    <w:p w14:paraId="702562CE" w14:textId="13051538" w:rsidR="001B57A7" w:rsidRPr="00575CC5" w:rsidRDefault="001B57A7" w:rsidP="00545C2B">
      <w:pPr>
        <w:pStyle w:val="ListParagraph"/>
        <w:numPr>
          <w:ilvl w:val="0"/>
          <w:numId w:val="23"/>
        </w:numPr>
        <w:spacing w:after="200" w:line="276" w:lineRule="auto"/>
        <w:rPr>
          <w:noProof/>
          <w:szCs w:val="24"/>
        </w:rPr>
      </w:pPr>
      <w:r w:rsidRPr="00575CC5">
        <w:rPr>
          <w:noProof/>
          <w:szCs w:val="24"/>
        </w:rPr>
        <w:t>On 3 April 2024 the inter-service group met to discuss the</w:t>
      </w:r>
      <w:r w:rsidR="00F04127">
        <w:rPr>
          <w:noProof/>
          <w:szCs w:val="24"/>
        </w:rPr>
        <w:t xml:space="preserve"> contractor’s</w:t>
      </w:r>
      <w:r w:rsidRPr="00575CC5">
        <w:rPr>
          <w:noProof/>
          <w:szCs w:val="24"/>
        </w:rPr>
        <w:t xml:space="preserve"> interim report and provided written feedback after the meeting.</w:t>
      </w:r>
    </w:p>
    <w:p w14:paraId="654C639B" w14:textId="450BCF73" w:rsidR="001B57A7" w:rsidRPr="00575CC5" w:rsidRDefault="001B57A7" w:rsidP="00545C2B">
      <w:pPr>
        <w:pStyle w:val="ListParagraph"/>
        <w:numPr>
          <w:ilvl w:val="0"/>
          <w:numId w:val="23"/>
        </w:numPr>
        <w:spacing w:after="200" w:line="276" w:lineRule="auto"/>
        <w:rPr>
          <w:noProof/>
          <w:szCs w:val="24"/>
        </w:rPr>
      </w:pPr>
      <w:r w:rsidRPr="00575CC5">
        <w:rPr>
          <w:noProof/>
          <w:szCs w:val="24"/>
        </w:rPr>
        <w:t>On 19 June 2025, the steering group convened to receive and provide</w:t>
      </w:r>
      <w:r w:rsidR="002F1220">
        <w:rPr>
          <w:noProof/>
          <w:szCs w:val="24"/>
        </w:rPr>
        <w:t xml:space="preserve"> </w:t>
      </w:r>
      <w:r w:rsidRPr="00575CC5">
        <w:rPr>
          <w:noProof/>
          <w:szCs w:val="24"/>
        </w:rPr>
        <w:t>feedback on the contractor’s draft Final Report. The participants were invited to provide additional written feedback after the meeting</w:t>
      </w:r>
      <w:r w:rsidR="008A7ABE">
        <w:rPr>
          <w:noProof/>
          <w:szCs w:val="24"/>
        </w:rPr>
        <w:t>.</w:t>
      </w:r>
      <w:r w:rsidRPr="00575CC5">
        <w:rPr>
          <w:noProof/>
          <w:szCs w:val="24"/>
        </w:rPr>
        <w:t xml:space="preserve"> </w:t>
      </w:r>
    </w:p>
    <w:p w14:paraId="3E962B5E" w14:textId="025CA97F" w:rsidR="001B57A7" w:rsidRPr="00575CC5" w:rsidRDefault="001B57A7" w:rsidP="00545C2B">
      <w:pPr>
        <w:jc w:val="both"/>
        <w:rPr>
          <w:rFonts w:ascii="Times New Roman" w:hAnsi="Times New Roman" w:cs="Times New Roman"/>
          <w:noProof/>
          <w:sz w:val="24"/>
          <w:szCs w:val="24"/>
        </w:rPr>
      </w:pPr>
      <w:r w:rsidRPr="00575CC5">
        <w:rPr>
          <w:rFonts w:ascii="Times New Roman" w:hAnsi="Times New Roman" w:cs="Times New Roman"/>
          <w:noProof/>
          <w:sz w:val="24"/>
          <w:szCs w:val="24"/>
        </w:rPr>
        <w:t>On 24 September 2024, the Final Report was re-submitted by the contractor to DG HOME and subsequently accepted</w:t>
      </w:r>
      <w:r w:rsidR="00545C2B">
        <w:rPr>
          <w:rFonts w:ascii="Times New Roman" w:hAnsi="Times New Roman" w:cs="Times New Roman"/>
          <w:noProof/>
          <w:sz w:val="24"/>
          <w:szCs w:val="24"/>
        </w:rPr>
        <w:t>.</w:t>
      </w:r>
      <w:r w:rsidRPr="00575CC5">
        <w:rPr>
          <w:rFonts w:ascii="Times New Roman" w:hAnsi="Times New Roman" w:cs="Times New Roman"/>
          <w:noProof/>
          <w:sz w:val="24"/>
          <w:szCs w:val="24"/>
        </w:rPr>
        <w:t xml:space="preserve"> </w:t>
      </w:r>
      <w:r w:rsidRPr="00575CC5">
        <w:rPr>
          <w:rFonts w:ascii="Times New Roman" w:hAnsi="Times New Roman" w:cs="Times New Roman"/>
          <w:noProof/>
          <w:sz w:val="24"/>
          <w:szCs w:val="24"/>
        </w:rPr>
        <w:tab/>
      </w:r>
    </w:p>
    <w:p w14:paraId="71B95261" w14:textId="77777777" w:rsidR="001B57A7" w:rsidRPr="00575CC5" w:rsidRDefault="001B57A7" w:rsidP="008A47B8">
      <w:pPr>
        <w:pStyle w:val="Heading2"/>
        <w:rPr>
          <w:noProof/>
          <w:lang w:val="en-IE"/>
        </w:rPr>
      </w:pPr>
      <w:bookmarkStart w:id="68" w:name="_Toc471997758"/>
      <w:bookmarkStart w:id="69" w:name="_Toc481484488"/>
      <w:bookmarkStart w:id="70" w:name="_Toc223439265"/>
      <w:r w:rsidRPr="00575CC5">
        <w:rPr>
          <w:noProof/>
          <w:lang w:val="en-IE"/>
        </w:rPr>
        <w:t>3. Evidence, sources and quality</w:t>
      </w:r>
      <w:bookmarkEnd w:id="68"/>
      <w:bookmarkEnd w:id="69"/>
      <w:bookmarkEnd w:id="70"/>
      <w:r w:rsidRPr="00575CC5">
        <w:rPr>
          <w:noProof/>
          <w:lang w:val="en-IE"/>
        </w:rPr>
        <w:tab/>
      </w:r>
    </w:p>
    <w:p w14:paraId="18848F84" w14:textId="71223AE7" w:rsidR="00C0229B" w:rsidRPr="00575CC5" w:rsidRDefault="00C0229B" w:rsidP="00C0229B">
      <w:pPr>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The evaluation drew on different types of documents at EU, international and national level</w:t>
      </w:r>
      <w:r w:rsidR="002F1220">
        <w:rPr>
          <w:rFonts w:ascii="Times New Roman" w:hAnsi="Times New Roman" w:cs="Times New Roman"/>
          <w:noProof/>
          <w:sz w:val="24"/>
          <w:szCs w:val="24"/>
          <w:lang w:val="en-IE"/>
        </w:rPr>
        <w:t>.</w:t>
      </w:r>
    </w:p>
    <w:p w14:paraId="30828CDA" w14:textId="493A9EBD" w:rsidR="00C0229B" w:rsidRPr="00545C2B" w:rsidRDefault="00C0229B" w:rsidP="00545C2B">
      <w:pPr>
        <w:jc w:val="both"/>
        <w:rPr>
          <w:rFonts w:ascii="Times New Roman" w:hAnsi="Times New Roman" w:cs="Times New Roman"/>
          <w:noProof/>
          <w:sz w:val="24"/>
          <w:szCs w:val="24"/>
        </w:rPr>
      </w:pPr>
      <w:r w:rsidRPr="00545C2B">
        <w:rPr>
          <w:rFonts w:ascii="Times New Roman" w:hAnsi="Times New Roman" w:cs="Times New Roman"/>
          <w:noProof/>
          <w:sz w:val="24"/>
          <w:szCs w:val="24"/>
        </w:rPr>
        <w:t xml:space="preserve">Policy documents, legal instruments and research reports the EU level provided indications as to the nature and scope of EU anti-money laundering policy, in particular when related to criminal law. At international level, the contractor reviewed documents describing international standards and initiatives relating to criminal law provisions in the field of money laundering, such as the Warsaw Convention and FATF Recommendations. Finally, at the national level, national legislative measures, strategies, administrative procedures and guidelines that in one way or another were relevant in transposing and implementing the provisions contained in the Directive were of </w:t>
      </w:r>
      <w:r w:rsidR="00E64EEA" w:rsidRPr="00545C2B">
        <w:rPr>
          <w:rFonts w:ascii="Times New Roman" w:hAnsi="Times New Roman" w:cs="Times New Roman"/>
          <w:noProof/>
          <w:sz w:val="24"/>
          <w:szCs w:val="24"/>
        </w:rPr>
        <w:t>relevance</w:t>
      </w:r>
      <w:r w:rsidRPr="00545C2B">
        <w:rPr>
          <w:rFonts w:ascii="Times New Roman" w:hAnsi="Times New Roman" w:cs="Times New Roman"/>
          <w:noProof/>
          <w:sz w:val="24"/>
          <w:szCs w:val="24"/>
        </w:rPr>
        <w:t>. The contractor also conducted an analysis of national implementation measures with the aim of creating a better picture of the situation in practice and identifying challenges and opportunities.</w:t>
      </w:r>
    </w:p>
    <w:p w14:paraId="6BF4195A" w14:textId="389D86C2" w:rsidR="000C7EB2" w:rsidRPr="00545C2B" w:rsidRDefault="00C0229B" w:rsidP="00545C2B">
      <w:pPr>
        <w:jc w:val="both"/>
        <w:rPr>
          <w:rFonts w:ascii="Times New Roman" w:hAnsi="Times New Roman" w:cs="Times New Roman"/>
          <w:noProof/>
          <w:sz w:val="24"/>
          <w:szCs w:val="24"/>
        </w:rPr>
      </w:pPr>
      <w:r w:rsidRPr="00545C2B">
        <w:rPr>
          <w:rFonts w:ascii="Times New Roman" w:hAnsi="Times New Roman" w:cs="Times New Roman"/>
          <w:noProof/>
          <w:sz w:val="24"/>
          <w:szCs w:val="24"/>
        </w:rPr>
        <w:t>Besides a review of the relevant documents, the evaluation also relied on extensive consultations with a wide range of stakeholders with desk research, discovery interviews, targeted consultations (via surveys and interviews), statistical data collection, case studies and, expert input through workshops. These consultations served as opportunities to collect new data or to confirm the validity of already collected data. Additional information concerning the stakeholder consultations is provided in Annex V.</w:t>
      </w:r>
    </w:p>
    <w:p w14:paraId="140C1A43" w14:textId="352C6240" w:rsidR="008530D4" w:rsidRPr="00575CC5" w:rsidRDefault="006A4E17"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71" w:name="_Toc223439266"/>
      <w:r w:rsidRPr="00575CC5">
        <w:rPr>
          <w:noProof/>
          <w:szCs w:val="24"/>
        </w:rPr>
        <w:t>Annex II. Methodology and A</w:t>
      </w:r>
      <w:r w:rsidR="00147D71" w:rsidRPr="00575CC5">
        <w:rPr>
          <w:noProof/>
          <w:szCs w:val="24"/>
        </w:rPr>
        <w:t>nalytical models used</w:t>
      </w:r>
      <w:bookmarkEnd w:id="71"/>
    </w:p>
    <w:p w14:paraId="288F2B16" w14:textId="68E88503" w:rsidR="006A4E17" w:rsidRPr="00575CC5" w:rsidRDefault="00C0229B" w:rsidP="00C0229B">
      <w:pPr>
        <w:pStyle w:val="Heading2"/>
        <w:numPr>
          <w:ilvl w:val="0"/>
          <w:numId w:val="24"/>
        </w:numPr>
        <w:rPr>
          <w:noProof/>
        </w:rPr>
      </w:pPr>
      <w:bookmarkStart w:id="72" w:name="_Toc218852103"/>
      <w:bookmarkStart w:id="73" w:name="_Toc223439267"/>
      <w:bookmarkStart w:id="74" w:name="_Toc481484489"/>
      <w:r w:rsidRPr="00575CC5">
        <w:rPr>
          <w:noProof/>
        </w:rPr>
        <w:t xml:space="preserve">Methods and </w:t>
      </w:r>
      <w:r w:rsidR="00594482">
        <w:rPr>
          <w:noProof/>
        </w:rPr>
        <w:t>s</w:t>
      </w:r>
      <w:r w:rsidRPr="00575CC5">
        <w:rPr>
          <w:noProof/>
        </w:rPr>
        <w:t>ources</w:t>
      </w:r>
      <w:bookmarkEnd w:id="72"/>
      <w:bookmarkEnd w:id="73"/>
    </w:p>
    <w:p w14:paraId="764E3732" w14:textId="2C959F0E" w:rsidR="00C0229B" w:rsidRPr="00575CC5" w:rsidRDefault="00C0229B" w:rsidP="00C0229B">
      <w:pPr>
        <w:jc w:val="both"/>
        <w:rPr>
          <w:rFonts w:ascii="Times New Roman" w:hAnsi="Times New Roman" w:cs="Times New Roman"/>
          <w:bCs/>
          <w:iCs/>
          <w:noProof/>
          <w:sz w:val="24"/>
          <w:szCs w:val="24"/>
          <w:lang w:val="en-IE"/>
        </w:rPr>
      </w:pPr>
      <w:r w:rsidRPr="00575CC5">
        <w:rPr>
          <w:rFonts w:ascii="Times New Roman" w:hAnsi="Times New Roman" w:cs="Times New Roman"/>
          <w:bCs/>
          <w:iCs/>
          <w:noProof/>
          <w:sz w:val="24"/>
          <w:szCs w:val="24"/>
          <w:lang w:val="en-IE"/>
        </w:rPr>
        <w:t xml:space="preserve">The external study was carried out by Deloitte, following a call for services under a framework contract. Evidence was collected through six complementary activities that were </w:t>
      </w:r>
      <w:r w:rsidR="00594482">
        <w:rPr>
          <w:rFonts w:ascii="Times New Roman" w:hAnsi="Times New Roman" w:cs="Times New Roman"/>
          <w:bCs/>
          <w:iCs/>
          <w:noProof/>
          <w:sz w:val="24"/>
          <w:szCs w:val="24"/>
          <w:lang w:val="en-IE"/>
        </w:rPr>
        <w:t>carried out</w:t>
      </w:r>
      <w:r w:rsidR="00594482" w:rsidRPr="00575CC5">
        <w:rPr>
          <w:rFonts w:ascii="Times New Roman" w:hAnsi="Times New Roman" w:cs="Times New Roman"/>
          <w:bCs/>
          <w:iCs/>
          <w:noProof/>
          <w:sz w:val="24"/>
          <w:szCs w:val="24"/>
          <w:lang w:val="en-IE"/>
        </w:rPr>
        <w:t xml:space="preserve"> </w:t>
      </w:r>
      <w:r w:rsidRPr="00575CC5">
        <w:rPr>
          <w:rFonts w:ascii="Times New Roman" w:hAnsi="Times New Roman" w:cs="Times New Roman"/>
          <w:bCs/>
          <w:iCs/>
          <w:noProof/>
          <w:sz w:val="24"/>
          <w:szCs w:val="24"/>
          <w:lang w:val="en-IE"/>
        </w:rPr>
        <w:t>under</w:t>
      </w:r>
      <w:r w:rsidR="00594482">
        <w:rPr>
          <w:rFonts w:ascii="Times New Roman" w:hAnsi="Times New Roman" w:cs="Times New Roman"/>
          <w:bCs/>
          <w:iCs/>
          <w:noProof/>
          <w:sz w:val="24"/>
          <w:szCs w:val="24"/>
          <w:lang w:val="en-IE"/>
        </w:rPr>
        <w:t xml:space="preserve"> the</w:t>
      </w:r>
      <w:r w:rsidRPr="00575CC5">
        <w:rPr>
          <w:rFonts w:ascii="Times New Roman" w:hAnsi="Times New Roman" w:cs="Times New Roman"/>
          <w:bCs/>
          <w:iCs/>
          <w:noProof/>
          <w:sz w:val="24"/>
          <w:szCs w:val="24"/>
          <w:lang w:val="en-IE"/>
        </w:rPr>
        <w:t xml:space="preserve"> close supervision of DG </w:t>
      </w:r>
      <w:r w:rsidR="00F52A92">
        <w:rPr>
          <w:rFonts w:ascii="Times New Roman" w:hAnsi="Times New Roman" w:cs="Times New Roman"/>
          <w:bCs/>
          <w:iCs/>
          <w:noProof/>
          <w:sz w:val="24"/>
          <w:szCs w:val="24"/>
          <w:lang w:val="en-IE"/>
        </w:rPr>
        <w:t>HOME</w:t>
      </w:r>
      <w:r w:rsidRPr="00575CC5">
        <w:rPr>
          <w:rFonts w:ascii="Times New Roman" w:hAnsi="Times New Roman" w:cs="Times New Roman"/>
          <w:bCs/>
          <w:iCs/>
          <w:noProof/>
          <w:sz w:val="24"/>
          <w:szCs w:val="24"/>
          <w:lang w:val="en-IE"/>
        </w:rPr>
        <w:t>: desk research, discovery interviews, targeted consultations (surveys and interviews), statistical data collection, three case studies, and expert workshops. Data triangulation was applied systematically to ensure objectivity and robustness by balancing qualitative and quantitative evidence.</w:t>
      </w:r>
    </w:p>
    <w:p w14:paraId="2F583357" w14:textId="0303B39B" w:rsidR="00D9480D" w:rsidRPr="00575CC5" w:rsidRDefault="00C0229B" w:rsidP="00C0229B">
      <w:pPr>
        <w:jc w:val="both"/>
        <w:rPr>
          <w:rFonts w:ascii="Times New Roman" w:hAnsi="Times New Roman" w:cs="Times New Roman"/>
          <w:b/>
          <w:i/>
          <w:noProof/>
          <w:sz w:val="24"/>
          <w:szCs w:val="24"/>
          <w:lang w:val="en-IE"/>
        </w:rPr>
      </w:pPr>
      <w:r w:rsidRPr="00575CC5">
        <w:rPr>
          <w:rFonts w:ascii="Times New Roman" w:hAnsi="Times New Roman" w:cs="Times New Roman"/>
          <w:bCs/>
          <w:iCs/>
          <w:noProof/>
          <w:sz w:val="24"/>
          <w:szCs w:val="24"/>
          <w:lang w:val="en-IE"/>
        </w:rPr>
        <w:t xml:space="preserve">The study placed particular emphasis on stakeholder perspectives. Extensive surveys and interviews were conducted between late 2023 and early 2024, allowing for contemporaneous insights into the Directive’s implementation and practical implications. Sensitive information collected during the consultations was processed under strict confidentiality rules in line with </w:t>
      </w:r>
      <w:r w:rsidR="00594482">
        <w:rPr>
          <w:rFonts w:ascii="Times New Roman" w:hAnsi="Times New Roman" w:cs="Times New Roman"/>
          <w:bCs/>
          <w:iCs/>
          <w:noProof/>
          <w:sz w:val="24"/>
          <w:szCs w:val="24"/>
          <w:lang w:val="en-IE"/>
        </w:rPr>
        <w:t>EU classified information</w:t>
      </w:r>
      <w:r w:rsidR="00594482" w:rsidRPr="00575CC5">
        <w:rPr>
          <w:rFonts w:ascii="Times New Roman" w:hAnsi="Times New Roman" w:cs="Times New Roman"/>
          <w:bCs/>
          <w:iCs/>
          <w:noProof/>
          <w:sz w:val="24"/>
          <w:szCs w:val="24"/>
          <w:lang w:val="en-IE"/>
        </w:rPr>
        <w:t xml:space="preserve"> </w:t>
      </w:r>
      <w:r w:rsidRPr="00575CC5">
        <w:rPr>
          <w:rFonts w:ascii="Times New Roman" w:hAnsi="Times New Roman" w:cs="Times New Roman"/>
          <w:bCs/>
          <w:iCs/>
          <w:noProof/>
          <w:sz w:val="24"/>
          <w:szCs w:val="24"/>
          <w:lang w:val="en-IE"/>
        </w:rPr>
        <w:t>and relevant national requirements</w:t>
      </w:r>
      <w:r w:rsidRPr="00575CC5">
        <w:rPr>
          <w:rFonts w:ascii="Times New Roman" w:hAnsi="Times New Roman" w:cs="Times New Roman"/>
          <w:b/>
          <w:i/>
          <w:noProof/>
          <w:sz w:val="24"/>
          <w:szCs w:val="24"/>
          <w:lang w:val="en-IE"/>
        </w:rPr>
        <w:t xml:space="preserve">. </w:t>
      </w:r>
    </w:p>
    <w:p w14:paraId="684875EA" w14:textId="400DFAC7" w:rsidR="00C0229B" w:rsidRPr="00575CC5" w:rsidRDefault="00C0229B" w:rsidP="00C0229B">
      <w:pPr>
        <w:pStyle w:val="Heading2"/>
        <w:numPr>
          <w:ilvl w:val="0"/>
          <w:numId w:val="24"/>
        </w:numPr>
        <w:rPr>
          <w:noProof/>
        </w:rPr>
      </w:pPr>
      <w:bookmarkStart w:id="75" w:name="_Toc218852104"/>
      <w:bookmarkStart w:id="76" w:name="_Toc223439268"/>
      <w:r w:rsidRPr="00575CC5">
        <w:rPr>
          <w:noProof/>
        </w:rPr>
        <w:t xml:space="preserve">Known </w:t>
      </w:r>
      <w:r w:rsidR="00594482">
        <w:rPr>
          <w:noProof/>
        </w:rPr>
        <w:t>l</w:t>
      </w:r>
      <w:r w:rsidRPr="00575CC5">
        <w:rPr>
          <w:noProof/>
        </w:rPr>
        <w:t>imitations</w:t>
      </w:r>
      <w:bookmarkEnd w:id="75"/>
      <w:bookmarkEnd w:id="76"/>
    </w:p>
    <w:p w14:paraId="18A3AEE1" w14:textId="2F8A4FD3" w:rsidR="00C0229B" w:rsidRDefault="00C0229B" w:rsidP="00C0229B">
      <w:pPr>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table below outlines challenges, risks and limitations encountered </w:t>
      </w:r>
      <w:r w:rsidR="00BB27C0">
        <w:rPr>
          <w:rFonts w:ascii="Times New Roman" w:hAnsi="Times New Roman" w:cs="Times New Roman"/>
          <w:noProof/>
          <w:sz w:val="24"/>
          <w:szCs w:val="24"/>
          <w:lang w:val="en-IE"/>
        </w:rPr>
        <w:t>when</w:t>
      </w:r>
      <w:r w:rsidRPr="00575CC5">
        <w:rPr>
          <w:rFonts w:ascii="Times New Roman" w:hAnsi="Times New Roman" w:cs="Times New Roman"/>
          <w:noProof/>
          <w:sz w:val="24"/>
          <w:szCs w:val="24"/>
          <w:lang w:val="en-IE"/>
        </w:rPr>
        <w:t xml:space="preserve"> </w:t>
      </w:r>
      <w:r w:rsidR="00BB27C0" w:rsidRPr="00575CC5">
        <w:rPr>
          <w:rFonts w:ascii="Times New Roman" w:hAnsi="Times New Roman" w:cs="Times New Roman"/>
          <w:noProof/>
          <w:sz w:val="24"/>
          <w:szCs w:val="24"/>
          <w:lang w:val="en-IE"/>
        </w:rPr>
        <w:t>collecti</w:t>
      </w:r>
      <w:r w:rsidR="00BB27C0">
        <w:rPr>
          <w:rFonts w:ascii="Times New Roman" w:hAnsi="Times New Roman" w:cs="Times New Roman"/>
          <w:noProof/>
          <w:sz w:val="24"/>
          <w:szCs w:val="24"/>
          <w:lang w:val="en-IE"/>
        </w:rPr>
        <w:t>ng</w:t>
      </w:r>
      <w:r w:rsidR="00BB27C0"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and </w:t>
      </w:r>
      <w:r w:rsidR="00BB27C0" w:rsidRPr="00575CC5">
        <w:rPr>
          <w:rFonts w:ascii="Times New Roman" w:hAnsi="Times New Roman" w:cs="Times New Roman"/>
          <w:noProof/>
          <w:sz w:val="24"/>
          <w:szCs w:val="24"/>
          <w:lang w:val="en-IE"/>
        </w:rPr>
        <w:t>analysi</w:t>
      </w:r>
      <w:r w:rsidR="00BB27C0">
        <w:rPr>
          <w:rFonts w:ascii="Times New Roman" w:hAnsi="Times New Roman" w:cs="Times New Roman"/>
          <w:noProof/>
          <w:sz w:val="24"/>
          <w:szCs w:val="24"/>
          <w:lang w:val="en-IE"/>
        </w:rPr>
        <w:t xml:space="preserve">ng the </w:t>
      </w:r>
      <w:r w:rsidRPr="00575CC5">
        <w:rPr>
          <w:rFonts w:ascii="Times New Roman" w:hAnsi="Times New Roman" w:cs="Times New Roman"/>
          <w:noProof/>
          <w:sz w:val="24"/>
          <w:szCs w:val="24"/>
          <w:lang w:val="en-IE"/>
        </w:rPr>
        <w:t>data, along with the mitigating measures taken:</w:t>
      </w:r>
    </w:p>
    <w:p w14:paraId="73B58579" w14:textId="77777777" w:rsidR="00532DB6" w:rsidRDefault="00532DB6" w:rsidP="00C0229B">
      <w:pPr>
        <w:rPr>
          <w:rFonts w:ascii="Times New Roman" w:hAnsi="Times New Roman" w:cs="Times New Roman"/>
          <w:noProof/>
          <w:sz w:val="24"/>
          <w:szCs w:val="24"/>
          <w:lang w:val="en-IE"/>
        </w:rPr>
      </w:pPr>
    </w:p>
    <w:p w14:paraId="0C913995" w14:textId="77777777" w:rsidR="00532DB6" w:rsidRDefault="00532DB6" w:rsidP="00C0229B">
      <w:pPr>
        <w:rPr>
          <w:rFonts w:ascii="Times New Roman" w:hAnsi="Times New Roman" w:cs="Times New Roman"/>
          <w:noProof/>
          <w:sz w:val="24"/>
          <w:szCs w:val="24"/>
          <w:lang w:val="en-IE"/>
        </w:rPr>
      </w:pPr>
    </w:p>
    <w:p w14:paraId="5BD9C4CC" w14:textId="77777777" w:rsidR="00532DB6" w:rsidRPr="00575CC5" w:rsidRDefault="00532DB6" w:rsidP="00C0229B">
      <w:pPr>
        <w:rPr>
          <w:rFonts w:ascii="Times New Roman" w:hAnsi="Times New Roman" w:cs="Times New Roman"/>
          <w:noProof/>
          <w:sz w:val="24"/>
          <w:szCs w:val="24"/>
          <w:lang w:val="en-IE"/>
        </w:rPr>
      </w:pPr>
    </w:p>
    <w:tbl>
      <w:tblPr>
        <w:tblStyle w:val="Deloittetable"/>
        <w:tblW w:w="5000" w:type="pct"/>
        <w:tblLook w:val="04A0" w:firstRow="1" w:lastRow="0" w:firstColumn="1" w:lastColumn="0" w:noHBand="0" w:noVBand="1"/>
      </w:tblPr>
      <w:tblGrid>
        <w:gridCol w:w="2594"/>
        <w:gridCol w:w="6240"/>
      </w:tblGrid>
      <w:tr w:rsidR="00C0229B" w:rsidRPr="00575CC5" w14:paraId="6FECFC9C" w14:textId="77777777">
        <w:trPr>
          <w:trHeight w:val="468"/>
          <w:tblHeader/>
        </w:trPr>
        <w:tc>
          <w:tcPr>
            <w:tcW w:w="1468" w:type="pct"/>
          </w:tcPr>
          <w:p w14:paraId="5816340B" w14:textId="77777777" w:rsidR="00C0229B" w:rsidRPr="00575CC5" w:rsidRDefault="00C0229B">
            <w:pPr>
              <w:spacing w:line="276" w:lineRule="auto"/>
              <w:rPr>
                <w:rFonts w:ascii="Times New Roman" w:hAnsi="Times New Roman" w:cs="Times New Roman"/>
                <w:b/>
                <w:bCs/>
                <w:noProof/>
                <w:color w:val="9BBB59" w:themeColor="accent3"/>
              </w:rPr>
            </w:pPr>
            <w:r w:rsidRPr="00575CC5">
              <w:rPr>
                <w:rFonts w:ascii="Times New Roman" w:hAnsi="Times New Roman" w:cs="Times New Roman"/>
                <w:b/>
                <w:bCs/>
                <w:noProof/>
                <w:color w:val="9BBB59" w:themeColor="accent3"/>
              </w:rPr>
              <w:t>Challenge/Risk/Limitation</w:t>
            </w:r>
          </w:p>
        </w:tc>
        <w:tc>
          <w:tcPr>
            <w:tcW w:w="3532" w:type="pct"/>
          </w:tcPr>
          <w:p w14:paraId="66D7628F" w14:textId="77777777" w:rsidR="00C0229B" w:rsidRPr="00575CC5" w:rsidRDefault="00C0229B">
            <w:pPr>
              <w:spacing w:line="276" w:lineRule="auto"/>
              <w:rPr>
                <w:rFonts w:ascii="Times New Roman" w:hAnsi="Times New Roman" w:cs="Times New Roman"/>
                <w:b/>
                <w:bCs/>
                <w:noProof/>
                <w:color w:val="9BBB59" w:themeColor="accent3"/>
                <w:lang w:val="en-IE"/>
              </w:rPr>
            </w:pPr>
            <w:r w:rsidRPr="00575CC5">
              <w:rPr>
                <w:rFonts w:ascii="Times New Roman" w:hAnsi="Times New Roman" w:cs="Times New Roman"/>
                <w:b/>
                <w:bCs/>
                <w:noProof/>
                <w:color w:val="9BBB59" w:themeColor="accent3"/>
                <w:lang w:val="en-IE"/>
              </w:rPr>
              <w:t>Mitigation action (proactive and reactive)</w:t>
            </w:r>
          </w:p>
        </w:tc>
      </w:tr>
      <w:tr w:rsidR="00C0229B" w:rsidRPr="00575CC5" w14:paraId="79AC3C78" w14:textId="77777777">
        <w:trPr>
          <w:trHeight w:val="1461"/>
        </w:trPr>
        <w:tc>
          <w:tcPr>
            <w:tcW w:w="1468" w:type="pct"/>
          </w:tcPr>
          <w:p w14:paraId="71A3E5C1" w14:textId="1B8BBB28" w:rsidR="00C0229B" w:rsidRPr="00575CC5" w:rsidRDefault="00C0229B">
            <w:pPr>
              <w:spacing w:line="276" w:lineRule="auto"/>
              <w:rPr>
                <w:rFonts w:ascii="Times New Roman" w:hAnsi="Times New Roman" w:cs="Times New Roman"/>
                <w:b/>
                <w:bCs/>
                <w:noProof/>
                <w:sz w:val="24"/>
                <w:szCs w:val="24"/>
                <w:lang w:val="en-IE"/>
              </w:rPr>
            </w:pPr>
            <w:r w:rsidRPr="00575CC5">
              <w:rPr>
                <w:rFonts w:ascii="Times New Roman" w:hAnsi="Times New Roman" w:cs="Times New Roman"/>
                <w:b/>
                <w:bCs/>
                <w:noProof/>
                <w:sz w:val="24"/>
                <w:szCs w:val="24"/>
                <w:lang w:val="en-IE"/>
              </w:rPr>
              <w:t xml:space="preserve">Reach the </w:t>
            </w:r>
            <w:r w:rsidR="00BB27C0">
              <w:rPr>
                <w:rFonts w:ascii="Times New Roman" w:hAnsi="Times New Roman" w:cs="Times New Roman"/>
                <w:b/>
                <w:bCs/>
                <w:noProof/>
                <w:sz w:val="24"/>
                <w:szCs w:val="24"/>
                <w:lang w:val="en-IE"/>
              </w:rPr>
              <w:t>r</w:t>
            </w:r>
            <w:r w:rsidR="00BB27C0" w:rsidRPr="00575CC5">
              <w:rPr>
                <w:rFonts w:ascii="Times New Roman" w:hAnsi="Times New Roman" w:cs="Times New Roman"/>
                <w:b/>
                <w:bCs/>
                <w:noProof/>
                <w:sz w:val="24"/>
                <w:szCs w:val="24"/>
                <w:lang w:val="en-IE"/>
              </w:rPr>
              <w:t xml:space="preserve">elevant </w:t>
            </w:r>
            <w:r w:rsidR="00BB27C0">
              <w:rPr>
                <w:rFonts w:ascii="Times New Roman" w:hAnsi="Times New Roman" w:cs="Times New Roman"/>
                <w:b/>
                <w:bCs/>
                <w:noProof/>
                <w:sz w:val="24"/>
                <w:szCs w:val="24"/>
                <w:lang w:val="en-IE"/>
              </w:rPr>
              <w:t>s</w:t>
            </w:r>
            <w:r w:rsidR="00BB27C0" w:rsidRPr="00575CC5">
              <w:rPr>
                <w:rFonts w:ascii="Times New Roman" w:hAnsi="Times New Roman" w:cs="Times New Roman"/>
                <w:b/>
                <w:bCs/>
                <w:noProof/>
                <w:sz w:val="24"/>
                <w:szCs w:val="24"/>
                <w:lang w:val="en-IE"/>
              </w:rPr>
              <w:t xml:space="preserve">takeholders </w:t>
            </w:r>
            <w:r w:rsidRPr="00575CC5">
              <w:rPr>
                <w:rFonts w:ascii="Times New Roman" w:hAnsi="Times New Roman" w:cs="Times New Roman"/>
                <w:b/>
                <w:bCs/>
                <w:noProof/>
                <w:sz w:val="24"/>
                <w:szCs w:val="24"/>
                <w:lang w:val="en-IE"/>
              </w:rPr>
              <w:t xml:space="preserve">and </w:t>
            </w:r>
            <w:r w:rsidR="00BB27C0">
              <w:rPr>
                <w:rFonts w:ascii="Times New Roman" w:hAnsi="Times New Roman" w:cs="Times New Roman"/>
                <w:b/>
                <w:bCs/>
                <w:noProof/>
                <w:sz w:val="24"/>
                <w:szCs w:val="24"/>
                <w:lang w:val="en-IE"/>
              </w:rPr>
              <w:t>a</w:t>
            </w:r>
            <w:r w:rsidR="00BB27C0" w:rsidRPr="00575CC5">
              <w:rPr>
                <w:rFonts w:ascii="Times New Roman" w:hAnsi="Times New Roman" w:cs="Times New Roman"/>
                <w:b/>
                <w:bCs/>
                <w:noProof/>
                <w:sz w:val="24"/>
                <w:szCs w:val="24"/>
                <w:lang w:val="en-IE"/>
              </w:rPr>
              <w:t xml:space="preserve">void </w:t>
            </w:r>
            <w:r w:rsidR="00BB27C0">
              <w:rPr>
                <w:rFonts w:ascii="Times New Roman" w:hAnsi="Times New Roman" w:cs="Times New Roman"/>
                <w:b/>
                <w:bCs/>
                <w:noProof/>
                <w:sz w:val="24"/>
                <w:szCs w:val="24"/>
                <w:lang w:val="en-IE"/>
              </w:rPr>
              <w:t>c</w:t>
            </w:r>
            <w:r w:rsidR="00BB27C0" w:rsidRPr="00575CC5">
              <w:rPr>
                <w:rFonts w:ascii="Times New Roman" w:hAnsi="Times New Roman" w:cs="Times New Roman"/>
                <w:b/>
                <w:bCs/>
                <w:noProof/>
                <w:sz w:val="24"/>
                <w:szCs w:val="24"/>
                <w:lang w:val="en-IE"/>
              </w:rPr>
              <w:t xml:space="preserve">onsultation </w:t>
            </w:r>
            <w:r w:rsidR="00BB27C0">
              <w:rPr>
                <w:rFonts w:ascii="Times New Roman" w:hAnsi="Times New Roman" w:cs="Times New Roman"/>
                <w:b/>
                <w:bCs/>
                <w:noProof/>
                <w:sz w:val="24"/>
                <w:szCs w:val="24"/>
                <w:lang w:val="en-IE"/>
              </w:rPr>
              <w:t>f</w:t>
            </w:r>
            <w:r w:rsidR="00BB27C0" w:rsidRPr="00575CC5">
              <w:rPr>
                <w:rFonts w:ascii="Times New Roman" w:hAnsi="Times New Roman" w:cs="Times New Roman"/>
                <w:b/>
                <w:bCs/>
                <w:noProof/>
                <w:sz w:val="24"/>
                <w:szCs w:val="24"/>
                <w:lang w:val="en-IE"/>
              </w:rPr>
              <w:t>atigue</w:t>
            </w:r>
          </w:p>
        </w:tc>
        <w:tc>
          <w:tcPr>
            <w:tcW w:w="3532" w:type="pct"/>
          </w:tcPr>
          <w:p w14:paraId="37B20B55" w14:textId="5BE4E097" w:rsidR="00C0229B" w:rsidRPr="00575CC5" w:rsidRDefault="00C0229B">
            <w:pPr>
              <w:pStyle w:val="ListParagraph"/>
              <w:spacing w:line="276" w:lineRule="auto"/>
              <w:ind w:left="0"/>
              <w:rPr>
                <w:noProof/>
              </w:rPr>
            </w:pPr>
            <w:r w:rsidRPr="00575CC5">
              <w:rPr>
                <w:noProof/>
              </w:rPr>
              <w:t xml:space="preserve">The involvement of the right stakeholders </w:t>
            </w:r>
            <w:r w:rsidR="00BB27C0">
              <w:rPr>
                <w:noProof/>
              </w:rPr>
              <w:t>was</w:t>
            </w:r>
            <w:r w:rsidR="00BB27C0" w:rsidRPr="00575CC5">
              <w:rPr>
                <w:noProof/>
              </w:rPr>
              <w:t xml:space="preserve"> </w:t>
            </w:r>
            <w:r w:rsidRPr="00575CC5">
              <w:rPr>
                <w:noProof/>
              </w:rPr>
              <w:t xml:space="preserve">crucial for the success of the </w:t>
            </w:r>
            <w:r w:rsidR="00BB27C0">
              <w:rPr>
                <w:noProof/>
              </w:rPr>
              <w:t>s</w:t>
            </w:r>
            <w:r w:rsidR="00BB27C0" w:rsidRPr="00575CC5">
              <w:rPr>
                <w:noProof/>
              </w:rPr>
              <w:t>tudy</w:t>
            </w:r>
            <w:r w:rsidR="00BB27C0">
              <w:rPr>
                <w:noProof/>
              </w:rPr>
              <w:t xml:space="preserve"> </w:t>
            </w:r>
            <w:r w:rsidR="00E25E18">
              <w:rPr>
                <w:noProof/>
              </w:rPr>
              <w:t>supporting the evaluation</w:t>
            </w:r>
            <w:r w:rsidRPr="00575CC5">
              <w:rPr>
                <w:noProof/>
              </w:rPr>
              <w:t xml:space="preserve">. </w:t>
            </w:r>
            <w:r w:rsidR="00BB27C0">
              <w:rPr>
                <w:noProof/>
              </w:rPr>
              <w:t>T</w:t>
            </w:r>
            <w:r w:rsidRPr="00575CC5">
              <w:rPr>
                <w:noProof/>
              </w:rPr>
              <w:t xml:space="preserve">he study team </w:t>
            </w:r>
            <w:r w:rsidR="00BB27C0">
              <w:rPr>
                <w:noProof/>
              </w:rPr>
              <w:t>therefore</w:t>
            </w:r>
            <w:r w:rsidR="00BB27C0" w:rsidRPr="00575CC5">
              <w:rPr>
                <w:noProof/>
              </w:rPr>
              <w:t xml:space="preserve"> </w:t>
            </w:r>
            <w:r w:rsidRPr="00575CC5">
              <w:rPr>
                <w:noProof/>
              </w:rPr>
              <w:t>incorporated several mitigation measures in this regard:</w:t>
            </w:r>
          </w:p>
          <w:p w14:paraId="44699D36" w14:textId="4FF0A6CC" w:rsidR="00C0229B" w:rsidRPr="00575CC5" w:rsidRDefault="00C0229B" w:rsidP="00C0229B">
            <w:pPr>
              <w:pStyle w:val="ListParagraph"/>
              <w:numPr>
                <w:ilvl w:val="0"/>
                <w:numId w:val="25"/>
              </w:numPr>
              <w:spacing w:line="276" w:lineRule="auto"/>
              <w:rPr>
                <w:noProof/>
              </w:rPr>
            </w:pPr>
            <w:r w:rsidRPr="00575CC5">
              <w:rPr>
                <w:b/>
                <w:bCs/>
                <w:noProof/>
              </w:rPr>
              <w:t xml:space="preserve">Stakeholder </w:t>
            </w:r>
            <w:r w:rsidR="00BB27C0">
              <w:rPr>
                <w:b/>
                <w:bCs/>
                <w:noProof/>
              </w:rPr>
              <w:t>m</w:t>
            </w:r>
            <w:r w:rsidR="00BB27C0" w:rsidRPr="00575CC5">
              <w:rPr>
                <w:b/>
                <w:bCs/>
                <w:noProof/>
              </w:rPr>
              <w:t xml:space="preserve">apping </w:t>
            </w:r>
            <w:r w:rsidRPr="00575CC5">
              <w:rPr>
                <w:b/>
                <w:bCs/>
                <w:noProof/>
              </w:rPr>
              <w:t xml:space="preserve">and </w:t>
            </w:r>
            <w:r w:rsidR="00BB27C0">
              <w:rPr>
                <w:b/>
                <w:bCs/>
                <w:noProof/>
              </w:rPr>
              <w:t>e</w:t>
            </w:r>
            <w:r w:rsidR="00BB27C0" w:rsidRPr="00575CC5">
              <w:rPr>
                <w:b/>
                <w:bCs/>
                <w:noProof/>
              </w:rPr>
              <w:t>ngagement</w:t>
            </w:r>
            <w:r w:rsidRPr="00575CC5">
              <w:rPr>
                <w:b/>
                <w:bCs/>
                <w:noProof/>
              </w:rPr>
              <w:t xml:space="preserve">: </w:t>
            </w:r>
            <w:r w:rsidRPr="00575CC5">
              <w:rPr>
                <w:noProof/>
              </w:rPr>
              <w:t xml:space="preserve">A stakeholder mapping strategy </w:t>
            </w:r>
            <w:r w:rsidR="00BB27C0" w:rsidRPr="00575CC5">
              <w:rPr>
                <w:noProof/>
              </w:rPr>
              <w:t>facilitate</w:t>
            </w:r>
            <w:r w:rsidR="00BB27C0">
              <w:rPr>
                <w:noProof/>
              </w:rPr>
              <w:t>d</w:t>
            </w:r>
            <w:r w:rsidR="00BB27C0" w:rsidRPr="00575CC5">
              <w:rPr>
                <w:noProof/>
              </w:rPr>
              <w:t xml:space="preserve"> </w:t>
            </w:r>
            <w:r w:rsidRPr="00575CC5">
              <w:rPr>
                <w:noProof/>
              </w:rPr>
              <w:t>timely and appropriate engagement, supported by introductions and endorsements from DG HOME.</w:t>
            </w:r>
          </w:p>
          <w:p w14:paraId="22C0F896" w14:textId="36E8D377" w:rsidR="00C0229B" w:rsidRPr="00575CC5" w:rsidRDefault="00C0229B" w:rsidP="00C0229B">
            <w:pPr>
              <w:pStyle w:val="ListParagraph"/>
              <w:numPr>
                <w:ilvl w:val="0"/>
                <w:numId w:val="25"/>
              </w:numPr>
              <w:spacing w:line="276" w:lineRule="auto"/>
              <w:rPr>
                <w:b/>
                <w:bCs/>
                <w:noProof/>
              </w:rPr>
            </w:pPr>
            <w:r w:rsidRPr="00575CC5">
              <w:rPr>
                <w:b/>
                <w:bCs/>
                <w:noProof/>
              </w:rPr>
              <w:t xml:space="preserve">Monitoring </w:t>
            </w:r>
            <w:r w:rsidR="00BB27C0">
              <w:rPr>
                <w:b/>
                <w:bCs/>
                <w:noProof/>
              </w:rPr>
              <w:t>r</w:t>
            </w:r>
            <w:r w:rsidR="00BB27C0" w:rsidRPr="00575CC5">
              <w:rPr>
                <w:b/>
                <w:bCs/>
                <w:noProof/>
              </w:rPr>
              <w:t xml:space="preserve">esponse </w:t>
            </w:r>
            <w:r w:rsidR="00BB27C0">
              <w:rPr>
                <w:b/>
                <w:bCs/>
                <w:noProof/>
              </w:rPr>
              <w:t>r</w:t>
            </w:r>
            <w:r w:rsidRPr="00575CC5">
              <w:rPr>
                <w:b/>
                <w:bCs/>
                <w:noProof/>
              </w:rPr>
              <w:t xml:space="preserve">ate: </w:t>
            </w:r>
            <w:r w:rsidRPr="00575CC5">
              <w:rPr>
                <w:noProof/>
              </w:rPr>
              <w:t>Response rates to online surveys were closely monitored, with the circulation of personalised reminders and time extensions if necessary.</w:t>
            </w:r>
          </w:p>
          <w:p w14:paraId="600D4F68" w14:textId="6DDE2393" w:rsidR="00C0229B" w:rsidRPr="00575CC5" w:rsidRDefault="00C0229B" w:rsidP="00C0229B">
            <w:pPr>
              <w:pStyle w:val="ListParagraph"/>
              <w:numPr>
                <w:ilvl w:val="0"/>
                <w:numId w:val="25"/>
              </w:numPr>
              <w:spacing w:line="276" w:lineRule="auto"/>
              <w:rPr>
                <w:b/>
                <w:bCs/>
                <w:noProof/>
              </w:rPr>
            </w:pPr>
            <w:r w:rsidRPr="00575CC5">
              <w:rPr>
                <w:b/>
                <w:bCs/>
                <w:noProof/>
              </w:rPr>
              <w:t xml:space="preserve">Alternative </w:t>
            </w:r>
            <w:r w:rsidR="00BB27C0">
              <w:rPr>
                <w:b/>
                <w:bCs/>
                <w:noProof/>
              </w:rPr>
              <w:t>e</w:t>
            </w:r>
            <w:r w:rsidR="00BB27C0" w:rsidRPr="00575CC5">
              <w:rPr>
                <w:b/>
                <w:bCs/>
                <w:noProof/>
              </w:rPr>
              <w:t>ngagement</w:t>
            </w:r>
            <w:r w:rsidRPr="00575CC5">
              <w:rPr>
                <w:b/>
                <w:bCs/>
                <w:noProof/>
              </w:rPr>
              <w:t xml:space="preserve">: </w:t>
            </w:r>
            <w:r w:rsidRPr="00575CC5">
              <w:rPr>
                <w:noProof/>
              </w:rPr>
              <w:t xml:space="preserve">Stakeholders encountering challenges in submitting their responses within the designated deadline for the online survey were </w:t>
            </w:r>
            <w:r w:rsidR="00BB27C0">
              <w:rPr>
                <w:noProof/>
              </w:rPr>
              <w:t>given</w:t>
            </w:r>
            <w:r w:rsidR="00BB27C0" w:rsidRPr="00575CC5">
              <w:rPr>
                <w:noProof/>
              </w:rPr>
              <w:t xml:space="preserve"> </w:t>
            </w:r>
            <w:r w:rsidRPr="00575CC5">
              <w:rPr>
                <w:noProof/>
              </w:rPr>
              <w:t>the opportunity to participate in a brief interview with the evaluation team to provide their input.</w:t>
            </w:r>
          </w:p>
        </w:tc>
      </w:tr>
      <w:tr w:rsidR="00C0229B" w:rsidRPr="00575CC5" w14:paraId="7B6E1569" w14:textId="77777777">
        <w:trPr>
          <w:trHeight w:val="1461"/>
        </w:trPr>
        <w:tc>
          <w:tcPr>
            <w:tcW w:w="1468" w:type="pct"/>
          </w:tcPr>
          <w:p w14:paraId="5F98B2D1" w14:textId="77777777" w:rsidR="00C0229B" w:rsidRPr="00575CC5" w:rsidRDefault="00C0229B">
            <w:pPr>
              <w:spacing w:line="276" w:lineRule="auto"/>
              <w:rPr>
                <w:rFonts w:ascii="Times New Roman" w:hAnsi="Times New Roman" w:cs="Times New Roman"/>
                <w:b/>
                <w:bCs/>
                <w:noProof/>
                <w:sz w:val="24"/>
                <w:szCs w:val="24"/>
                <w:lang w:val="en-IE"/>
              </w:rPr>
            </w:pPr>
            <w:r w:rsidRPr="00575CC5">
              <w:rPr>
                <w:rFonts w:ascii="Times New Roman" w:hAnsi="Times New Roman" w:cs="Times New Roman"/>
                <w:b/>
                <w:bCs/>
                <w:noProof/>
                <w:sz w:val="24"/>
                <w:szCs w:val="24"/>
                <w:lang w:val="en-IE"/>
              </w:rPr>
              <w:t>Timely data availability and low response rate</w:t>
            </w:r>
          </w:p>
        </w:tc>
        <w:tc>
          <w:tcPr>
            <w:tcW w:w="3532" w:type="pct"/>
          </w:tcPr>
          <w:p w14:paraId="0010D312" w14:textId="2584B349" w:rsidR="00C0229B" w:rsidRPr="00575CC5" w:rsidRDefault="00C0229B">
            <w:pPr>
              <w:pStyle w:val="ListParagraph"/>
              <w:spacing w:line="276" w:lineRule="auto"/>
              <w:ind w:left="0"/>
              <w:rPr>
                <w:noProof/>
              </w:rPr>
            </w:pPr>
            <w:r w:rsidRPr="00575CC5">
              <w:rPr>
                <w:noProof/>
              </w:rPr>
              <w:t xml:space="preserve">Several consulted stakeholders noted challenges regarding providing the study team with the requested data in a timely manner. The </w:t>
            </w:r>
            <w:r w:rsidR="00E25E18">
              <w:rPr>
                <w:noProof/>
              </w:rPr>
              <w:t>supporting</w:t>
            </w:r>
            <w:r w:rsidRPr="00575CC5">
              <w:rPr>
                <w:noProof/>
              </w:rPr>
              <w:t xml:space="preserve"> study implemented the following mitigation actions, to promote further stakeholder engagement and fill in any data gaps:</w:t>
            </w:r>
          </w:p>
          <w:p w14:paraId="207E1688" w14:textId="087325B7" w:rsidR="00C0229B" w:rsidRPr="00575CC5" w:rsidRDefault="00C0229B" w:rsidP="00C0229B">
            <w:pPr>
              <w:pStyle w:val="ListParagraph"/>
              <w:numPr>
                <w:ilvl w:val="0"/>
                <w:numId w:val="26"/>
              </w:numPr>
              <w:spacing w:line="276" w:lineRule="auto"/>
              <w:rPr>
                <w:noProof/>
              </w:rPr>
            </w:pPr>
            <w:r w:rsidRPr="00575CC5">
              <w:rPr>
                <w:b/>
                <w:bCs/>
                <w:noProof/>
              </w:rPr>
              <w:t>Follow-</w:t>
            </w:r>
            <w:r w:rsidR="00BC58C1">
              <w:rPr>
                <w:b/>
                <w:bCs/>
                <w:noProof/>
              </w:rPr>
              <w:t>u</w:t>
            </w:r>
            <w:r w:rsidR="00BC58C1" w:rsidRPr="00575CC5">
              <w:rPr>
                <w:b/>
                <w:bCs/>
                <w:noProof/>
              </w:rPr>
              <w:t xml:space="preserve">p </w:t>
            </w:r>
            <w:r w:rsidR="00BC58C1">
              <w:rPr>
                <w:b/>
                <w:bCs/>
                <w:noProof/>
              </w:rPr>
              <w:t>e</w:t>
            </w:r>
            <w:r w:rsidR="00BC58C1" w:rsidRPr="00575CC5">
              <w:rPr>
                <w:b/>
                <w:bCs/>
                <w:noProof/>
              </w:rPr>
              <w:t>mails</w:t>
            </w:r>
            <w:r w:rsidRPr="00575CC5">
              <w:rPr>
                <w:b/>
                <w:bCs/>
                <w:noProof/>
              </w:rPr>
              <w:t xml:space="preserve">: </w:t>
            </w:r>
            <w:r w:rsidRPr="00575CC5">
              <w:rPr>
                <w:noProof/>
              </w:rPr>
              <w:t>Send follow-up emails to stakeholders who had not provided input to remind them of the survey and encourage their participation.</w:t>
            </w:r>
          </w:p>
          <w:p w14:paraId="203333B4" w14:textId="4D4A223F" w:rsidR="00C0229B" w:rsidRPr="00575CC5" w:rsidRDefault="00C0229B" w:rsidP="00C0229B">
            <w:pPr>
              <w:pStyle w:val="ListParagraph"/>
              <w:numPr>
                <w:ilvl w:val="0"/>
                <w:numId w:val="26"/>
              </w:numPr>
              <w:spacing w:line="276" w:lineRule="auto"/>
              <w:rPr>
                <w:noProof/>
              </w:rPr>
            </w:pPr>
            <w:r w:rsidRPr="00575CC5">
              <w:rPr>
                <w:b/>
                <w:bCs/>
                <w:noProof/>
              </w:rPr>
              <w:t xml:space="preserve">Deadline </w:t>
            </w:r>
            <w:r w:rsidR="00BC58C1">
              <w:rPr>
                <w:b/>
                <w:bCs/>
                <w:noProof/>
              </w:rPr>
              <w:t>e</w:t>
            </w:r>
            <w:r w:rsidRPr="00575CC5">
              <w:rPr>
                <w:b/>
                <w:bCs/>
                <w:noProof/>
              </w:rPr>
              <w:t xml:space="preserve">xtension with </w:t>
            </w:r>
            <w:r w:rsidR="00BC58C1">
              <w:rPr>
                <w:b/>
                <w:bCs/>
                <w:noProof/>
              </w:rPr>
              <w:t>f</w:t>
            </w:r>
            <w:r w:rsidR="00BC58C1" w:rsidRPr="00575CC5">
              <w:rPr>
                <w:b/>
                <w:bCs/>
                <w:noProof/>
              </w:rPr>
              <w:t xml:space="preserve">ormal </w:t>
            </w:r>
            <w:r w:rsidR="00BC58C1">
              <w:rPr>
                <w:b/>
                <w:bCs/>
                <w:noProof/>
              </w:rPr>
              <w:t>c</w:t>
            </w:r>
            <w:r w:rsidR="00BC58C1" w:rsidRPr="00575CC5">
              <w:rPr>
                <w:b/>
                <w:bCs/>
                <w:noProof/>
              </w:rPr>
              <w:t>ommunication</w:t>
            </w:r>
            <w:r w:rsidRPr="00575CC5">
              <w:rPr>
                <w:b/>
                <w:bCs/>
                <w:noProof/>
              </w:rPr>
              <w:t xml:space="preserve">: </w:t>
            </w:r>
            <w:r w:rsidRPr="00575CC5">
              <w:rPr>
                <w:noProof/>
              </w:rPr>
              <w:t>Formally communicate the extension of the deadline for providing input, ensuring stakeholders are aware of the opportunity to contribute.</w:t>
            </w:r>
          </w:p>
          <w:p w14:paraId="67534EC3" w14:textId="11E698D2" w:rsidR="00C0229B" w:rsidRPr="00575CC5" w:rsidRDefault="00C0229B" w:rsidP="00C0229B">
            <w:pPr>
              <w:pStyle w:val="ListParagraph"/>
              <w:numPr>
                <w:ilvl w:val="0"/>
                <w:numId w:val="26"/>
              </w:numPr>
              <w:spacing w:line="276" w:lineRule="auto"/>
              <w:rPr>
                <w:noProof/>
              </w:rPr>
            </w:pPr>
            <w:r w:rsidRPr="00575CC5">
              <w:rPr>
                <w:b/>
                <w:bCs/>
                <w:noProof/>
              </w:rPr>
              <w:t xml:space="preserve">Edit </w:t>
            </w:r>
            <w:r w:rsidR="00BC58C1">
              <w:rPr>
                <w:b/>
                <w:bCs/>
                <w:noProof/>
              </w:rPr>
              <w:t>s</w:t>
            </w:r>
            <w:r w:rsidRPr="00575CC5">
              <w:rPr>
                <w:b/>
                <w:bCs/>
                <w:noProof/>
              </w:rPr>
              <w:t xml:space="preserve">urvey </w:t>
            </w:r>
            <w:r w:rsidR="00BC58C1">
              <w:rPr>
                <w:b/>
                <w:bCs/>
                <w:noProof/>
              </w:rPr>
              <w:t>q</w:t>
            </w:r>
            <w:r w:rsidRPr="00575CC5">
              <w:rPr>
                <w:b/>
                <w:bCs/>
                <w:noProof/>
              </w:rPr>
              <w:t xml:space="preserve">uestion </w:t>
            </w:r>
            <w:r w:rsidR="00BC58C1">
              <w:rPr>
                <w:b/>
                <w:bCs/>
                <w:noProof/>
              </w:rPr>
              <w:t>r</w:t>
            </w:r>
            <w:r w:rsidRPr="00575CC5">
              <w:rPr>
                <w:b/>
                <w:bCs/>
                <w:noProof/>
              </w:rPr>
              <w:t>ules (</w:t>
            </w:r>
            <w:r w:rsidR="00BC58C1">
              <w:rPr>
                <w:b/>
                <w:bCs/>
                <w:noProof/>
              </w:rPr>
              <w:t>o</w:t>
            </w:r>
            <w:r w:rsidRPr="00575CC5">
              <w:rPr>
                <w:b/>
                <w:bCs/>
                <w:noProof/>
              </w:rPr>
              <w:t xml:space="preserve">ptional </w:t>
            </w:r>
            <w:r w:rsidR="00BC58C1">
              <w:rPr>
                <w:b/>
                <w:bCs/>
                <w:noProof/>
              </w:rPr>
              <w:t>r</w:t>
            </w:r>
            <w:r w:rsidRPr="00575CC5">
              <w:rPr>
                <w:b/>
                <w:bCs/>
                <w:noProof/>
              </w:rPr>
              <w:t xml:space="preserve">esponse): </w:t>
            </w:r>
            <w:r w:rsidRPr="00575CC5">
              <w:rPr>
                <w:noProof/>
              </w:rPr>
              <w:t>Convert any remaining mandatory surveys to optional, enabling stakeholders to provide partial input if necessary.</w:t>
            </w:r>
          </w:p>
          <w:p w14:paraId="02018EE5" w14:textId="32524FE6" w:rsidR="00C0229B" w:rsidRPr="00575CC5" w:rsidRDefault="00C0229B" w:rsidP="00C0229B">
            <w:pPr>
              <w:pStyle w:val="ListParagraph"/>
              <w:numPr>
                <w:ilvl w:val="0"/>
                <w:numId w:val="26"/>
              </w:numPr>
              <w:spacing w:line="276" w:lineRule="auto"/>
              <w:rPr>
                <w:noProof/>
              </w:rPr>
            </w:pPr>
            <w:r w:rsidRPr="00575CC5">
              <w:rPr>
                <w:b/>
                <w:bCs/>
                <w:noProof/>
              </w:rPr>
              <w:t xml:space="preserve">Provision of </w:t>
            </w:r>
            <w:r w:rsidR="00BC58C1">
              <w:rPr>
                <w:b/>
                <w:bCs/>
                <w:noProof/>
              </w:rPr>
              <w:t>a</w:t>
            </w:r>
            <w:r w:rsidR="00BC58C1" w:rsidRPr="00575CC5">
              <w:rPr>
                <w:b/>
                <w:bCs/>
                <w:noProof/>
              </w:rPr>
              <w:t xml:space="preserve">lternative </w:t>
            </w:r>
            <w:r w:rsidR="00BC58C1">
              <w:rPr>
                <w:b/>
                <w:bCs/>
                <w:noProof/>
              </w:rPr>
              <w:t>e</w:t>
            </w:r>
            <w:r w:rsidRPr="00575CC5">
              <w:rPr>
                <w:b/>
                <w:bCs/>
                <w:noProof/>
              </w:rPr>
              <w:t xml:space="preserve">ngagement </w:t>
            </w:r>
            <w:r w:rsidR="00BC58C1">
              <w:rPr>
                <w:b/>
                <w:bCs/>
                <w:noProof/>
              </w:rPr>
              <w:t>o</w:t>
            </w:r>
            <w:r w:rsidRPr="00575CC5">
              <w:rPr>
                <w:b/>
                <w:bCs/>
                <w:noProof/>
              </w:rPr>
              <w:t xml:space="preserve">ptions: </w:t>
            </w:r>
            <w:r w:rsidRPr="00575CC5">
              <w:rPr>
                <w:noProof/>
              </w:rPr>
              <w:t>Offer alternative engagement avenues such as private consultations or focus group discussions to gather insights from stakeholders who may prefer or require alternative means of participation.</w:t>
            </w:r>
          </w:p>
          <w:p w14:paraId="10D3AAEE" w14:textId="3742DF83" w:rsidR="00C0229B" w:rsidRPr="00575CC5" w:rsidRDefault="00C0229B" w:rsidP="00C0229B">
            <w:pPr>
              <w:pStyle w:val="ListParagraph"/>
              <w:numPr>
                <w:ilvl w:val="0"/>
                <w:numId w:val="26"/>
              </w:numPr>
              <w:spacing w:line="276" w:lineRule="auto"/>
              <w:rPr>
                <w:noProof/>
              </w:rPr>
            </w:pPr>
            <w:r w:rsidRPr="00575CC5">
              <w:rPr>
                <w:b/>
                <w:bCs/>
                <w:noProof/>
              </w:rPr>
              <w:t xml:space="preserve">Expansion of </w:t>
            </w:r>
            <w:r w:rsidR="00BC58C1">
              <w:rPr>
                <w:b/>
                <w:bCs/>
                <w:noProof/>
              </w:rPr>
              <w:t>s</w:t>
            </w:r>
            <w:r w:rsidR="00BC58C1" w:rsidRPr="00575CC5">
              <w:rPr>
                <w:b/>
                <w:bCs/>
                <w:noProof/>
              </w:rPr>
              <w:t xml:space="preserve">takeholder </w:t>
            </w:r>
            <w:r w:rsidR="00BC58C1">
              <w:rPr>
                <w:b/>
                <w:bCs/>
                <w:noProof/>
              </w:rPr>
              <w:t>l</w:t>
            </w:r>
            <w:r w:rsidR="00BC58C1" w:rsidRPr="00575CC5">
              <w:rPr>
                <w:b/>
                <w:bCs/>
                <w:noProof/>
              </w:rPr>
              <w:t>ist</w:t>
            </w:r>
            <w:r w:rsidRPr="00575CC5">
              <w:rPr>
                <w:b/>
                <w:bCs/>
                <w:noProof/>
              </w:rPr>
              <w:t xml:space="preserve">: </w:t>
            </w:r>
            <w:r w:rsidRPr="00575CC5">
              <w:rPr>
                <w:noProof/>
              </w:rPr>
              <w:t>Consider broadening</w:t>
            </w:r>
            <w:r w:rsidRPr="00575CC5">
              <w:rPr>
                <w:b/>
                <w:bCs/>
                <w:noProof/>
              </w:rPr>
              <w:t xml:space="preserve"> </w:t>
            </w:r>
            <w:r w:rsidRPr="00575CC5">
              <w:rPr>
                <w:noProof/>
              </w:rPr>
              <w:t>the list of stakeholders to promote further representation and input.</w:t>
            </w:r>
          </w:p>
          <w:p w14:paraId="235127BC" w14:textId="77777777" w:rsidR="00C0229B" w:rsidRPr="00575CC5" w:rsidRDefault="00C0229B">
            <w:pPr>
              <w:pStyle w:val="ListParagraph"/>
              <w:spacing w:line="276" w:lineRule="auto"/>
              <w:ind w:left="0"/>
              <w:rPr>
                <w:noProof/>
              </w:rPr>
            </w:pPr>
          </w:p>
        </w:tc>
      </w:tr>
      <w:tr w:rsidR="00C0229B" w:rsidRPr="00575CC5" w14:paraId="2AFC14BB" w14:textId="77777777">
        <w:trPr>
          <w:trHeight w:val="13"/>
        </w:trPr>
        <w:tc>
          <w:tcPr>
            <w:tcW w:w="1468" w:type="pct"/>
          </w:tcPr>
          <w:p w14:paraId="49384D3D" w14:textId="754F6A41" w:rsidR="00C0229B" w:rsidRPr="00575CC5" w:rsidRDefault="00C0229B">
            <w:pPr>
              <w:spacing w:line="276" w:lineRule="auto"/>
              <w:rPr>
                <w:rFonts w:ascii="Times New Roman" w:hAnsi="Times New Roman" w:cs="Times New Roman"/>
                <w:b/>
                <w:bCs/>
                <w:noProof/>
                <w:sz w:val="24"/>
                <w:szCs w:val="24"/>
              </w:rPr>
            </w:pPr>
            <w:r w:rsidRPr="00575CC5">
              <w:rPr>
                <w:rFonts w:ascii="Times New Roman" w:hAnsi="Times New Roman" w:cs="Times New Roman"/>
                <w:b/>
                <w:bCs/>
                <w:noProof/>
                <w:sz w:val="24"/>
                <w:szCs w:val="24"/>
              </w:rPr>
              <w:t xml:space="preserve">Reluctance from </w:t>
            </w:r>
            <w:r w:rsidR="005B7F30">
              <w:rPr>
                <w:rFonts w:ascii="Times New Roman" w:hAnsi="Times New Roman" w:cs="Times New Roman"/>
                <w:b/>
                <w:bCs/>
                <w:noProof/>
                <w:sz w:val="24"/>
                <w:szCs w:val="24"/>
              </w:rPr>
              <w:t>s</w:t>
            </w:r>
            <w:r w:rsidR="005B7F30" w:rsidRPr="00575CC5">
              <w:rPr>
                <w:rFonts w:ascii="Times New Roman" w:hAnsi="Times New Roman" w:cs="Times New Roman"/>
                <w:b/>
                <w:bCs/>
                <w:noProof/>
                <w:sz w:val="24"/>
                <w:szCs w:val="24"/>
              </w:rPr>
              <w:t xml:space="preserve">takeholders </w:t>
            </w:r>
            <w:r w:rsidRPr="00575CC5">
              <w:rPr>
                <w:rFonts w:ascii="Times New Roman" w:hAnsi="Times New Roman" w:cs="Times New Roman"/>
                <w:b/>
                <w:bCs/>
                <w:noProof/>
                <w:sz w:val="24"/>
                <w:szCs w:val="24"/>
              </w:rPr>
              <w:t xml:space="preserve">to </w:t>
            </w:r>
            <w:r w:rsidR="005B7F30">
              <w:rPr>
                <w:rFonts w:ascii="Times New Roman" w:hAnsi="Times New Roman" w:cs="Times New Roman"/>
                <w:b/>
                <w:bCs/>
                <w:noProof/>
                <w:sz w:val="24"/>
                <w:szCs w:val="24"/>
              </w:rPr>
              <w:t>s</w:t>
            </w:r>
            <w:r w:rsidRPr="00575CC5">
              <w:rPr>
                <w:rFonts w:ascii="Times New Roman" w:hAnsi="Times New Roman" w:cs="Times New Roman"/>
                <w:b/>
                <w:bCs/>
                <w:noProof/>
                <w:sz w:val="24"/>
                <w:szCs w:val="24"/>
              </w:rPr>
              <w:t xml:space="preserve">hare </w:t>
            </w:r>
            <w:r w:rsidR="005B7F30">
              <w:rPr>
                <w:rFonts w:ascii="Times New Roman" w:hAnsi="Times New Roman" w:cs="Times New Roman"/>
                <w:b/>
                <w:bCs/>
                <w:noProof/>
                <w:sz w:val="24"/>
                <w:szCs w:val="24"/>
              </w:rPr>
              <w:t>t</w:t>
            </w:r>
            <w:r w:rsidRPr="00575CC5">
              <w:rPr>
                <w:rFonts w:ascii="Times New Roman" w:hAnsi="Times New Roman" w:cs="Times New Roman"/>
                <w:b/>
                <w:bCs/>
                <w:noProof/>
                <w:sz w:val="24"/>
                <w:szCs w:val="24"/>
              </w:rPr>
              <w:t xml:space="preserve">heir </w:t>
            </w:r>
            <w:r w:rsidR="005B7F30">
              <w:rPr>
                <w:rFonts w:ascii="Times New Roman" w:hAnsi="Times New Roman" w:cs="Times New Roman"/>
                <w:b/>
                <w:bCs/>
                <w:noProof/>
                <w:sz w:val="24"/>
                <w:szCs w:val="24"/>
              </w:rPr>
              <w:t>v</w:t>
            </w:r>
            <w:r w:rsidRPr="00575CC5">
              <w:rPr>
                <w:rFonts w:ascii="Times New Roman" w:hAnsi="Times New Roman" w:cs="Times New Roman"/>
                <w:b/>
                <w:bCs/>
                <w:noProof/>
                <w:sz w:val="24"/>
                <w:szCs w:val="24"/>
              </w:rPr>
              <w:t>iews</w:t>
            </w:r>
          </w:p>
        </w:tc>
        <w:tc>
          <w:tcPr>
            <w:tcW w:w="3532" w:type="pct"/>
          </w:tcPr>
          <w:p w14:paraId="0FF7ECD0" w14:textId="21E5CB9C" w:rsidR="00C0229B" w:rsidRPr="00575CC5" w:rsidRDefault="00C0229B">
            <w:pPr>
              <w:pStyle w:val="ListParagraph"/>
              <w:spacing w:line="276" w:lineRule="auto"/>
              <w:ind w:left="0"/>
              <w:rPr>
                <w:noProof/>
              </w:rPr>
            </w:pPr>
            <w:r w:rsidRPr="00575CC5">
              <w:rPr>
                <w:noProof/>
              </w:rPr>
              <w:t xml:space="preserve">Stakeholders may hesitate to share views due to privacy concerns or discomfort. As their insights are crucial for </w:t>
            </w:r>
            <w:r w:rsidR="005B7F30">
              <w:rPr>
                <w:noProof/>
              </w:rPr>
              <w:t>assessing</w:t>
            </w:r>
            <w:r w:rsidRPr="00575CC5">
              <w:rPr>
                <w:noProof/>
              </w:rPr>
              <w:t xml:space="preserve"> the performance of the Directive, the study team tried to address these concerns </w:t>
            </w:r>
            <w:r w:rsidR="005B7F30">
              <w:rPr>
                <w:noProof/>
              </w:rPr>
              <w:t>as follows</w:t>
            </w:r>
            <w:r w:rsidRPr="00575CC5">
              <w:rPr>
                <w:noProof/>
              </w:rPr>
              <w:t>:</w:t>
            </w:r>
          </w:p>
          <w:p w14:paraId="35449E43" w14:textId="07C0D1E1" w:rsidR="00C0229B" w:rsidRPr="00575CC5" w:rsidRDefault="00C0229B" w:rsidP="00C0229B">
            <w:pPr>
              <w:pStyle w:val="ListParagraph"/>
              <w:numPr>
                <w:ilvl w:val="0"/>
                <w:numId w:val="27"/>
              </w:numPr>
              <w:spacing w:line="276" w:lineRule="auto"/>
              <w:rPr>
                <w:noProof/>
              </w:rPr>
            </w:pPr>
            <w:r w:rsidRPr="00575CC5">
              <w:rPr>
                <w:b/>
                <w:bCs/>
                <w:noProof/>
              </w:rPr>
              <w:t xml:space="preserve">Anonymity </w:t>
            </w:r>
            <w:r w:rsidR="00E20B4A">
              <w:rPr>
                <w:b/>
                <w:bCs/>
                <w:noProof/>
              </w:rPr>
              <w:t>a</w:t>
            </w:r>
            <w:r w:rsidRPr="00575CC5">
              <w:rPr>
                <w:b/>
                <w:bCs/>
                <w:noProof/>
              </w:rPr>
              <w:t xml:space="preserve">ssurance: </w:t>
            </w:r>
            <w:r w:rsidRPr="00575CC5">
              <w:rPr>
                <w:noProof/>
              </w:rPr>
              <w:t>Stakeholders were assured of anonymised data usage for aggregate study purposes.</w:t>
            </w:r>
          </w:p>
          <w:p w14:paraId="24783ABF" w14:textId="0B4063AE" w:rsidR="00C0229B" w:rsidRPr="00575CC5" w:rsidRDefault="00C0229B" w:rsidP="00C0229B">
            <w:pPr>
              <w:pStyle w:val="ListParagraph"/>
              <w:numPr>
                <w:ilvl w:val="0"/>
                <w:numId w:val="27"/>
              </w:numPr>
              <w:spacing w:line="276" w:lineRule="auto"/>
              <w:rPr>
                <w:b/>
                <w:bCs/>
                <w:noProof/>
              </w:rPr>
            </w:pPr>
            <w:r w:rsidRPr="00575CC5">
              <w:rPr>
                <w:b/>
                <w:bCs/>
                <w:noProof/>
              </w:rPr>
              <w:t xml:space="preserve">Clarification of </w:t>
            </w:r>
            <w:r w:rsidR="00E20B4A">
              <w:rPr>
                <w:b/>
                <w:bCs/>
                <w:noProof/>
              </w:rPr>
              <w:t>p</w:t>
            </w:r>
            <w:r w:rsidRPr="00575CC5">
              <w:rPr>
                <w:b/>
                <w:bCs/>
                <w:noProof/>
              </w:rPr>
              <w:t xml:space="preserve">urpose: </w:t>
            </w:r>
            <w:r w:rsidRPr="00575CC5">
              <w:rPr>
                <w:noProof/>
              </w:rPr>
              <w:t>The study team clarified the purpose and confidentiality measures at the outset of interviews and surveys.</w:t>
            </w:r>
          </w:p>
          <w:p w14:paraId="33727306" w14:textId="154ADBB3" w:rsidR="00C0229B" w:rsidRPr="00575CC5" w:rsidRDefault="00C0229B" w:rsidP="00C0229B">
            <w:pPr>
              <w:pStyle w:val="ListParagraph"/>
              <w:numPr>
                <w:ilvl w:val="0"/>
                <w:numId w:val="27"/>
              </w:numPr>
              <w:spacing w:line="276" w:lineRule="auto"/>
              <w:rPr>
                <w:noProof/>
              </w:rPr>
            </w:pPr>
            <w:r w:rsidRPr="00575CC5">
              <w:rPr>
                <w:b/>
                <w:bCs/>
                <w:noProof/>
              </w:rPr>
              <w:t xml:space="preserve">Adjusted </w:t>
            </w:r>
            <w:r w:rsidR="00E20B4A">
              <w:rPr>
                <w:b/>
                <w:bCs/>
                <w:noProof/>
              </w:rPr>
              <w:t>a</w:t>
            </w:r>
            <w:r w:rsidRPr="00575CC5">
              <w:rPr>
                <w:b/>
                <w:bCs/>
                <w:noProof/>
              </w:rPr>
              <w:t xml:space="preserve">pproach for </w:t>
            </w:r>
            <w:r w:rsidR="00E20B4A">
              <w:rPr>
                <w:b/>
                <w:bCs/>
                <w:noProof/>
              </w:rPr>
              <w:t>p</w:t>
            </w:r>
            <w:r w:rsidRPr="00575CC5">
              <w:rPr>
                <w:b/>
                <w:bCs/>
                <w:noProof/>
              </w:rPr>
              <w:t xml:space="preserve">artial </w:t>
            </w:r>
            <w:r w:rsidR="00E20B4A">
              <w:rPr>
                <w:b/>
                <w:bCs/>
                <w:noProof/>
              </w:rPr>
              <w:t>i</w:t>
            </w:r>
            <w:r w:rsidRPr="00575CC5">
              <w:rPr>
                <w:b/>
                <w:bCs/>
                <w:noProof/>
              </w:rPr>
              <w:t xml:space="preserve">nput: </w:t>
            </w:r>
            <w:r w:rsidRPr="00575CC5">
              <w:rPr>
                <w:noProof/>
              </w:rPr>
              <w:t>The study team revised the online survey questions, shifting them from mandatory to optional for specific stakeholder categories unable to provide input on all survey inquiries. This modification enabled stakeholders to provide partial input on questions they are knowledgeable about, ensuring their insights were still captured effectively.</w:t>
            </w:r>
          </w:p>
          <w:p w14:paraId="48B38B84" w14:textId="73DB2C21" w:rsidR="00C0229B" w:rsidRPr="00575CC5" w:rsidRDefault="00C0229B" w:rsidP="00C0229B">
            <w:pPr>
              <w:pStyle w:val="ListParagraph"/>
              <w:numPr>
                <w:ilvl w:val="0"/>
                <w:numId w:val="27"/>
              </w:numPr>
              <w:spacing w:line="276" w:lineRule="auto"/>
              <w:rPr>
                <w:noProof/>
              </w:rPr>
            </w:pPr>
            <w:r w:rsidRPr="00575CC5">
              <w:rPr>
                <w:b/>
                <w:bCs/>
                <w:noProof/>
              </w:rPr>
              <w:t xml:space="preserve">Alternative </w:t>
            </w:r>
            <w:r w:rsidR="007E16A0">
              <w:rPr>
                <w:b/>
                <w:bCs/>
                <w:noProof/>
              </w:rPr>
              <w:t>e</w:t>
            </w:r>
            <w:r w:rsidR="007E16A0" w:rsidRPr="00575CC5">
              <w:rPr>
                <w:b/>
                <w:bCs/>
                <w:noProof/>
              </w:rPr>
              <w:t>ngagement</w:t>
            </w:r>
            <w:r w:rsidRPr="00575CC5">
              <w:rPr>
                <w:b/>
                <w:bCs/>
                <w:noProof/>
              </w:rPr>
              <w:t xml:space="preserve">: </w:t>
            </w:r>
            <w:r w:rsidRPr="00575CC5">
              <w:rPr>
                <w:noProof/>
              </w:rPr>
              <w:t>Stakeholders unable to provide responses to all survey questions were offered the option of participating in interviews to share their input effectively.</w:t>
            </w:r>
          </w:p>
        </w:tc>
      </w:tr>
    </w:tbl>
    <w:p w14:paraId="4C4C81F7" w14:textId="3A38E07B" w:rsidR="00C0229B" w:rsidRPr="00575CC5" w:rsidRDefault="00C0229B" w:rsidP="00C0229B">
      <w:pPr>
        <w:pStyle w:val="Heading2"/>
        <w:numPr>
          <w:ilvl w:val="0"/>
          <w:numId w:val="24"/>
        </w:numPr>
        <w:rPr>
          <w:noProof/>
        </w:rPr>
      </w:pPr>
      <w:bookmarkStart w:id="77" w:name="_Toc218852105"/>
      <w:bookmarkStart w:id="78" w:name="_Toc223439269"/>
      <w:r w:rsidRPr="00575CC5">
        <w:rPr>
          <w:noProof/>
        </w:rPr>
        <w:t xml:space="preserve">Process </w:t>
      </w:r>
      <w:bookmarkEnd w:id="77"/>
      <w:r w:rsidR="007E16A0">
        <w:rPr>
          <w:noProof/>
        </w:rPr>
        <w:t>d</w:t>
      </w:r>
      <w:r w:rsidR="007E16A0" w:rsidRPr="00575CC5">
        <w:rPr>
          <w:noProof/>
        </w:rPr>
        <w:t>escription</w:t>
      </w:r>
      <w:bookmarkEnd w:id="78"/>
    </w:p>
    <w:p w14:paraId="6C38EFA2" w14:textId="77777777" w:rsidR="00C0229B" w:rsidRPr="00575CC5" w:rsidRDefault="00C0229B" w:rsidP="00C0229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To assess the Directive’s impact, a multifaceted approach involving both qualitative and quantitative data collection methods was developed.</w:t>
      </w:r>
    </w:p>
    <w:p w14:paraId="6EF1AB2A" w14:textId="5AD028A8" w:rsidR="00BC47DC" w:rsidRPr="00F02686" w:rsidRDefault="00BC47DC" w:rsidP="00C0229B">
      <w:pPr>
        <w:jc w:val="both"/>
        <w:rPr>
          <w:rFonts w:ascii="Times New Roman" w:hAnsi="Times New Roman" w:cs="Times New Roman"/>
          <w:noProof/>
          <w:sz w:val="24"/>
          <w:szCs w:val="24"/>
        </w:rPr>
      </w:pPr>
      <w:r w:rsidRPr="00A908E5">
        <w:rPr>
          <w:rFonts w:ascii="Times New Roman" w:hAnsi="Times New Roman" w:cs="Times New Roman"/>
          <w:noProof/>
          <w:sz w:val="24"/>
          <w:szCs w:val="24"/>
        </w:rPr>
        <w:t>The qualitative data w</w:t>
      </w:r>
      <w:r>
        <w:rPr>
          <w:rFonts w:ascii="Times New Roman" w:hAnsi="Times New Roman" w:cs="Times New Roman"/>
          <w:noProof/>
          <w:sz w:val="24"/>
          <w:szCs w:val="24"/>
        </w:rPr>
        <w:t>ere</w:t>
      </w:r>
      <w:r w:rsidRPr="00A908E5">
        <w:rPr>
          <w:rFonts w:ascii="Times New Roman" w:hAnsi="Times New Roman" w:cs="Times New Roman"/>
          <w:noProof/>
          <w:sz w:val="24"/>
          <w:szCs w:val="24"/>
        </w:rPr>
        <w:t xml:space="preserve"> sourced for the period 2001</w:t>
      </w:r>
      <w:r>
        <w:rPr>
          <w:rFonts w:ascii="Times New Roman" w:hAnsi="Times New Roman" w:cs="Times New Roman"/>
          <w:noProof/>
          <w:sz w:val="24"/>
          <w:szCs w:val="24"/>
        </w:rPr>
        <w:t>-</w:t>
      </w:r>
      <w:r w:rsidRPr="00A908E5">
        <w:rPr>
          <w:rFonts w:ascii="Times New Roman" w:hAnsi="Times New Roman" w:cs="Times New Roman"/>
          <w:noProof/>
          <w:sz w:val="24"/>
          <w:szCs w:val="24"/>
        </w:rPr>
        <w:t xml:space="preserve">2018 (to the extent possible), thus taking into account </w:t>
      </w:r>
      <w:r>
        <w:rPr>
          <w:rFonts w:ascii="Times New Roman" w:hAnsi="Times New Roman" w:cs="Times New Roman"/>
          <w:noProof/>
          <w:sz w:val="24"/>
          <w:szCs w:val="24"/>
        </w:rPr>
        <w:t>the</w:t>
      </w:r>
      <w:r w:rsidRPr="00A908E5">
        <w:rPr>
          <w:rFonts w:ascii="Times New Roman" w:hAnsi="Times New Roman" w:cs="Times New Roman"/>
          <w:noProof/>
          <w:sz w:val="24"/>
          <w:szCs w:val="24"/>
        </w:rPr>
        <w:t xml:space="preserve"> </w:t>
      </w:r>
      <w:r>
        <w:rPr>
          <w:rFonts w:ascii="Times New Roman" w:hAnsi="Times New Roman" w:cs="Times New Roman"/>
          <w:noProof/>
          <w:sz w:val="24"/>
          <w:szCs w:val="24"/>
        </w:rPr>
        <w:t>fact that</w:t>
      </w:r>
      <w:r w:rsidRPr="00A908E5">
        <w:rPr>
          <w:rFonts w:ascii="Times New Roman" w:hAnsi="Times New Roman" w:cs="Times New Roman"/>
          <w:noProof/>
          <w:sz w:val="24"/>
          <w:szCs w:val="24"/>
        </w:rPr>
        <w:t xml:space="preserve"> Council Framework Decision 2001/500/JHA </w:t>
      </w:r>
      <w:r>
        <w:rPr>
          <w:rFonts w:ascii="Times New Roman" w:hAnsi="Times New Roman" w:cs="Times New Roman"/>
          <w:noProof/>
          <w:sz w:val="24"/>
          <w:szCs w:val="24"/>
        </w:rPr>
        <w:t xml:space="preserve">was in force </w:t>
      </w:r>
      <w:r w:rsidRPr="00A908E5">
        <w:rPr>
          <w:rFonts w:ascii="Times New Roman" w:hAnsi="Times New Roman" w:cs="Times New Roman"/>
          <w:noProof/>
          <w:sz w:val="24"/>
          <w:szCs w:val="24"/>
        </w:rPr>
        <w:t>until Directive (EU) 2018/1673</w:t>
      </w:r>
      <w:r>
        <w:rPr>
          <w:rFonts w:ascii="Times New Roman" w:hAnsi="Times New Roman" w:cs="Times New Roman"/>
          <w:noProof/>
          <w:sz w:val="24"/>
          <w:szCs w:val="24"/>
        </w:rPr>
        <w:t xml:space="preserve"> was adopted</w:t>
      </w:r>
      <w:r w:rsidRPr="00A908E5">
        <w:rPr>
          <w:rFonts w:ascii="Times New Roman" w:hAnsi="Times New Roman" w:cs="Times New Roman"/>
          <w:noProof/>
          <w:sz w:val="24"/>
          <w:szCs w:val="24"/>
        </w:rPr>
        <w:t xml:space="preserve">. This approach ensured </w:t>
      </w:r>
      <w:r>
        <w:rPr>
          <w:rFonts w:ascii="Times New Roman" w:hAnsi="Times New Roman" w:cs="Times New Roman"/>
          <w:noProof/>
          <w:sz w:val="24"/>
          <w:szCs w:val="24"/>
        </w:rPr>
        <w:t xml:space="preserve">that </w:t>
      </w:r>
      <w:r w:rsidRPr="00A908E5">
        <w:rPr>
          <w:rFonts w:ascii="Times New Roman" w:hAnsi="Times New Roman" w:cs="Times New Roman"/>
          <w:noProof/>
          <w:sz w:val="24"/>
          <w:szCs w:val="24"/>
        </w:rPr>
        <w:t>an exhaustive analysis</w:t>
      </w:r>
      <w:r>
        <w:rPr>
          <w:rFonts w:ascii="Times New Roman" w:hAnsi="Times New Roman" w:cs="Times New Roman"/>
          <w:noProof/>
          <w:sz w:val="24"/>
          <w:szCs w:val="24"/>
        </w:rPr>
        <w:t xml:space="preserve"> was carried out</w:t>
      </w:r>
      <w:r w:rsidRPr="00A908E5">
        <w:rPr>
          <w:rFonts w:ascii="Times New Roman" w:hAnsi="Times New Roman" w:cs="Times New Roman"/>
          <w:noProof/>
          <w:sz w:val="24"/>
          <w:szCs w:val="24"/>
        </w:rPr>
        <w:t xml:space="preserve"> </w:t>
      </w:r>
      <w:r>
        <w:rPr>
          <w:rFonts w:ascii="Times New Roman" w:hAnsi="Times New Roman" w:cs="Times New Roman"/>
          <w:noProof/>
          <w:sz w:val="24"/>
          <w:szCs w:val="24"/>
        </w:rPr>
        <w:t xml:space="preserve">into </w:t>
      </w:r>
      <w:r w:rsidRPr="00A908E5">
        <w:rPr>
          <w:rFonts w:ascii="Times New Roman" w:hAnsi="Times New Roman" w:cs="Times New Roman"/>
          <w:noProof/>
          <w:sz w:val="24"/>
          <w:szCs w:val="24"/>
        </w:rPr>
        <w:t xml:space="preserve">the situation before the Directive </w:t>
      </w:r>
      <w:r>
        <w:rPr>
          <w:rFonts w:ascii="Times New Roman" w:hAnsi="Times New Roman" w:cs="Times New Roman"/>
          <w:noProof/>
          <w:sz w:val="24"/>
          <w:szCs w:val="24"/>
        </w:rPr>
        <w:t xml:space="preserve">was adopted and into </w:t>
      </w:r>
      <w:r w:rsidRPr="00A908E5">
        <w:rPr>
          <w:rFonts w:ascii="Times New Roman" w:hAnsi="Times New Roman" w:cs="Times New Roman"/>
          <w:noProof/>
          <w:sz w:val="24"/>
          <w:szCs w:val="24"/>
        </w:rPr>
        <w:t xml:space="preserve">the Directive’s influence on </w:t>
      </w:r>
      <w:r>
        <w:rPr>
          <w:rFonts w:ascii="Times New Roman" w:hAnsi="Times New Roman" w:cs="Times New Roman"/>
          <w:noProof/>
          <w:sz w:val="24"/>
          <w:szCs w:val="24"/>
        </w:rPr>
        <w:t xml:space="preserve">the </w:t>
      </w:r>
      <w:r w:rsidRPr="00A908E5">
        <w:rPr>
          <w:rFonts w:ascii="Times New Roman" w:hAnsi="Times New Roman" w:cs="Times New Roman"/>
          <w:noProof/>
          <w:sz w:val="24"/>
          <w:szCs w:val="24"/>
        </w:rPr>
        <w:t xml:space="preserve">harmonising </w:t>
      </w:r>
      <w:r>
        <w:rPr>
          <w:rFonts w:ascii="Times New Roman" w:hAnsi="Times New Roman" w:cs="Times New Roman"/>
          <w:noProof/>
          <w:sz w:val="24"/>
          <w:szCs w:val="24"/>
        </w:rPr>
        <w:t xml:space="preserve">of </w:t>
      </w:r>
      <w:r w:rsidRPr="00A908E5">
        <w:rPr>
          <w:rFonts w:ascii="Times New Roman" w:hAnsi="Times New Roman" w:cs="Times New Roman"/>
          <w:noProof/>
          <w:sz w:val="24"/>
          <w:szCs w:val="24"/>
        </w:rPr>
        <w:t>money</w:t>
      </w:r>
      <w:r>
        <w:rPr>
          <w:rFonts w:ascii="Times New Roman" w:hAnsi="Times New Roman" w:cs="Times New Roman"/>
          <w:noProof/>
          <w:sz w:val="24"/>
          <w:szCs w:val="24"/>
        </w:rPr>
        <w:t>-</w:t>
      </w:r>
      <w:r w:rsidRPr="00A908E5">
        <w:rPr>
          <w:rFonts w:ascii="Times New Roman" w:hAnsi="Times New Roman" w:cs="Times New Roman"/>
          <w:noProof/>
          <w:sz w:val="24"/>
          <w:szCs w:val="24"/>
        </w:rPr>
        <w:t xml:space="preserve">laundering offences. Furthermore, the external study </w:t>
      </w:r>
      <w:r>
        <w:rPr>
          <w:rFonts w:ascii="Times New Roman" w:hAnsi="Times New Roman" w:cs="Times New Roman"/>
          <w:noProof/>
          <w:sz w:val="24"/>
          <w:szCs w:val="24"/>
        </w:rPr>
        <w:t>drew on</w:t>
      </w:r>
      <w:r w:rsidRPr="00A908E5">
        <w:rPr>
          <w:rFonts w:ascii="Times New Roman" w:hAnsi="Times New Roman" w:cs="Times New Roman"/>
          <w:noProof/>
          <w:sz w:val="24"/>
          <w:szCs w:val="24"/>
        </w:rPr>
        <w:t xml:space="preserve"> in-depth surveys and interviews at the </w:t>
      </w:r>
      <w:r>
        <w:rPr>
          <w:rFonts w:ascii="Times New Roman" w:hAnsi="Times New Roman" w:cs="Times New Roman"/>
          <w:noProof/>
          <w:sz w:val="24"/>
          <w:szCs w:val="24"/>
        </w:rPr>
        <w:t>end</w:t>
      </w:r>
      <w:r w:rsidRPr="00A908E5">
        <w:rPr>
          <w:rFonts w:ascii="Times New Roman" w:hAnsi="Times New Roman" w:cs="Times New Roman"/>
          <w:noProof/>
          <w:sz w:val="24"/>
          <w:szCs w:val="24"/>
        </w:rPr>
        <w:t xml:space="preserve"> of 2023 and </w:t>
      </w:r>
      <w:r>
        <w:rPr>
          <w:rFonts w:ascii="Times New Roman" w:hAnsi="Times New Roman" w:cs="Times New Roman"/>
          <w:noProof/>
          <w:sz w:val="24"/>
          <w:szCs w:val="24"/>
        </w:rPr>
        <w:t xml:space="preserve">in early </w:t>
      </w:r>
      <w:r w:rsidRPr="00A908E5">
        <w:rPr>
          <w:rFonts w:ascii="Times New Roman" w:hAnsi="Times New Roman" w:cs="Times New Roman"/>
          <w:noProof/>
          <w:sz w:val="24"/>
          <w:szCs w:val="24"/>
        </w:rPr>
        <w:t xml:space="preserve">2024, providing contemporaneous insight into stakeholders’ perspectives and enabling an academic exploration of the Directive’s practical implications. </w:t>
      </w:r>
    </w:p>
    <w:p w14:paraId="502DF525" w14:textId="7EB489B2" w:rsidR="00C0229B" w:rsidRPr="00575CC5" w:rsidRDefault="00C0229B" w:rsidP="00C0229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evaluation used qualitative and quantitative data and evidence to assess the performance of existing programmes, compared </w:t>
      </w:r>
      <w:r w:rsidR="00E04CA0">
        <w:rPr>
          <w:rFonts w:ascii="Times New Roman" w:hAnsi="Times New Roman" w:cs="Times New Roman"/>
          <w:noProof/>
          <w:sz w:val="24"/>
          <w:szCs w:val="24"/>
          <w:lang w:val="en-IE"/>
        </w:rPr>
        <w:t>with</w:t>
      </w:r>
      <w:r w:rsidR="00E04CA0"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expectations prior to implementation of Directive (EU) 2018/1673 on combating money laundering by criminal law. </w:t>
      </w:r>
    </w:p>
    <w:p w14:paraId="768BCBC4" w14:textId="0E22744C" w:rsidR="00C0229B" w:rsidRPr="00575CC5" w:rsidRDefault="00C0229B" w:rsidP="00C0229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research was structured along the five core evaluation criteria listed in the Better Regulation Guidelines: effectiveness, efficiency, coherence, relevance and EU added value. In addition to these, the evaluation team also assessed the impact of the Directive on the fundamental rights and freedoms having regard to the different stages of the criminal procedure. </w:t>
      </w:r>
    </w:p>
    <w:p w14:paraId="267CB567" w14:textId="48685750" w:rsidR="00C356D5" w:rsidRPr="009A39FA" w:rsidRDefault="00C356D5" w:rsidP="009A39FA">
      <w:pPr>
        <w:jc w:val="center"/>
        <w:rPr>
          <w:rFonts w:ascii="Times New Roman" w:hAnsi="Times New Roman" w:cs="Times New Roman"/>
          <w:i/>
          <w:iCs/>
          <w:noProof/>
          <w:sz w:val="24"/>
          <w:szCs w:val="24"/>
          <w:lang w:val="en-IE"/>
        </w:rPr>
      </w:pPr>
      <w:r w:rsidRPr="009A39FA">
        <w:rPr>
          <w:rFonts w:ascii="Times New Roman" w:hAnsi="Times New Roman" w:cs="Times New Roman"/>
          <w:i/>
          <w:iCs/>
          <w:noProof/>
          <w:sz w:val="24"/>
          <w:szCs w:val="24"/>
          <w:lang w:val="en-IE"/>
        </w:rPr>
        <w:t>Fig. 1 Intervention logic and evaluation criteria</w:t>
      </w:r>
    </w:p>
    <w:p w14:paraId="1B3C8BD5" w14:textId="192A9416" w:rsidR="00C0229B" w:rsidRPr="00575CC5" w:rsidRDefault="00C0229B" w:rsidP="00C0229B">
      <w:pPr>
        <w:jc w:val="center"/>
        <w:rPr>
          <w:rFonts w:ascii="Times New Roman" w:hAnsi="Times New Roman" w:cs="Times New Roman"/>
          <w:noProof/>
          <w:sz w:val="24"/>
          <w:szCs w:val="24"/>
          <w:lang w:val="en-IE"/>
        </w:rPr>
      </w:pPr>
      <w:r w:rsidRPr="00575CC5">
        <w:rPr>
          <w:rFonts w:ascii="Times New Roman" w:hAnsi="Times New Roman" w:cs="Times New Roman"/>
          <w:noProof/>
          <w:lang w:eastAsia="en-GB"/>
        </w:rPr>
        <w:drawing>
          <wp:inline distT="0" distB="0" distL="0" distR="0" wp14:anchorId="117FDBE6" wp14:editId="7123BA1A">
            <wp:extent cx="5581290" cy="2955351"/>
            <wp:effectExtent l="0" t="0" r="635" b="0"/>
            <wp:docPr id="60" name="Picture 60" descr="A diagram of a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diagram of a process&#10;&#10;AI-generated content may be incorrect."/>
                    <pic:cNvPicPr/>
                  </pic:nvPicPr>
                  <pic:blipFill>
                    <a:blip r:embed="rId40"/>
                    <a:stretch>
                      <a:fillRect/>
                    </a:stretch>
                  </pic:blipFill>
                  <pic:spPr>
                    <a:xfrm>
                      <a:off x="0" y="0"/>
                      <a:ext cx="5607268" cy="2969107"/>
                    </a:xfrm>
                    <a:prstGeom prst="rect">
                      <a:avLst/>
                    </a:prstGeom>
                  </pic:spPr>
                </pic:pic>
              </a:graphicData>
            </a:graphic>
          </wp:inline>
        </w:drawing>
      </w:r>
    </w:p>
    <w:p w14:paraId="66007E0E" w14:textId="2B64A39F" w:rsidR="00C0229B" w:rsidRDefault="00881024" w:rsidP="00C0229B">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w:t>
      </w:r>
      <w:r w:rsidR="00E5065D">
        <w:rPr>
          <w:rFonts w:ascii="Times New Roman" w:hAnsi="Times New Roman" w:cs="Times New Roman"/>
          <w:noProof/>
          <w:sz w:val="24"/>
          <w:szCs w:val="24"/>
          <w:lang w:val="en-IE"/>
        </w:rPr>
        <w:t xml:space="preserve"> line with</w:t>
      </w:r>
      <w:r w:rsidRPr="00575CC5">
        <w:rPr>
          <w:rFonts w:ascii="Times New Roman" w:hAnsi="Times New Roman" w:cs="Times New Roman"/>
          <w:noProof/>
          <w:sz w:val="24"/>
          <w:szCs w:val="24"/>
          <w:lang w:val="en-IE"/>
        </w:rPr>
        <w:t xml:space="preserve"> </w:t>
      </w:r>
      <w:r w:rsidR="00C0229B" w:rsidRPr="00575CC5">
        <w:rPr>
          <w:rFonts w:ascii="Times New Roman" w:hAnsi="Times New Roman" w:cs="Times New Roman"/>
          <w:noProof/>
          <w:sz w:val="24"/>
          <w:szCs w:val="24"/>
          <w:lang w:val="en-IE"/>
        </w:rPr>
        <w:t xml:space="preserve">the Better Regulation Guidelines, the evaluation used the </w:t>
      </w:r>
      <w:r w:rsidR="00E5065D">
        <w:rPr>
          <w:rFonts w:ascii="Times New Roman" w:hAnsi="Times New Roman" w:cs="Times New Roman"/>
          <w:b/>
          <w:bCs/>
          <w:noProof/>
          <w:sz w:val="24"/>
          <w:szCs w:val="24"/>
          <w:lang w:val="en-IE"/>
        </w:rPr>
        <w:t>i</w:t>
      </w:r>
      <w:r w:rsidR="00E5065D" w:rsidRPr="00575CC5">
        <w:rPr>
          <w:rFonts w:ascii="Times New Roman" w:hAnsi="Times New Roman" w:cs="Times New Roman"/>
          <w:b/>
          <w:bCs/>
          <w:noProof/>
          <w:sz w:val="24"/>
          <w:szCs w:val="24"/>
          <w:lang w:val="en-IE"/>
        </w:rPr>
        <w:t xml:space="preserve">ntervention </w:t>
      </w:r>
      <w:r w:rsidR="00E5065D">
        <w:rPr>
          <w:rFonts w:ascii="Times New Roman" w:hAnsi="Times New Roman" w:cs="Times New Roman"/>
          <w:b/>
          <w:bCs/>
          <w:noProof/>
          <w:sz w:val="24"/>
          <w:szCs w:val="24"/>
          <w:lang w:val="en-IE"/>
        </w:rPr>
        <w:t>l</w:t>
      </w:r>
      <w:r w:rsidR="00E5065D" w:rsidRPr="00575CC5">
        <w:rPr>
          <w:rFonts w:ascii="Times New Roman" w:hAnsi="Times New Roman" w:cs="Times New Roman"/>
          <w:b/>
          <w:bCs/>
          <w:noProof/>
          <w:sz w:val="24"/>
          <w:szCs w:val="24"/>
          <w:lang w:val="en-IE"/>
        </w:rPr>
        <w:t xml:space="preserve">ogic </w:t>
      </w:r>
      <w:r w:rsidR="00C0229B" w:rsidRPr="00575CC5">
        <w:rPr>
          <w:rFonts w:ascii="Times New Roman" w:hAnsi="Times New Roman" w:cs="Times New Roman"/>
          <w:b/>
          <w:bCs/>
          <w:noProof/>
          <w:sz w:val="24"/>
          <w:szCs w:val="24"/>
          <w:lang w:val="en-IE"/>
        </w:rPr>
        <w:t>(IL)</w:t>
      </w:r>
      <w:r w:rsidR="00C0229B" w:rsidRPr="00575CC5">
        <w:rPr>
          <w:rFonts w:ascii="Times New Roman" w:hAnsi="Times New Roman" w:cs="Times New Roman"/>
          <w:noProof/>
          <w:sz w:val="24"/>
          <w:szCs w:val="24"/>
          <w:lang w:val="en-IE"/>
        </w:rPr>
        <w:t xml:space="preserve"> (see </w:t>
      </w:r>
      <w:r w:rsidR="00E5065D">
        <w:rPr>
          <w:rFonts w:ascii="Times New Roman" w:hAnsi="Times New Roman" w:cs="Times New Roman"/>
          <w:noProof/>
          <w:sz w:val="24"/>
          <w:szCs w:val="24"/>
          <w:lang w:val="en-IE"/>
        </w:rPr>
        <w:t>Fi</w:t>
      </w:r>
      <w:r w:rsidR="00C0229B" w:rsidRPr="00575CC5">
        <w:rPr>
          <w:rFonts w:ascii="Times New Roman" w:hAnsi="Times New Roman" w:cs="Times New Roman"/>
          <w:noProof/>
          <w:sz w:val="24"/>
          <w:szCs w:val="24"/>
          <w:lang w:val="en-IE"/>
        </w:rPr>
        <w:t xml:space="preserve">gure </w:t>
      </w:r>
      <w:r w:rsidR="00E5065D">
        <w:rPr>
          <w:rFonts w:ascii="Times New Roman" w:hAnsi="Times New Roman" w:cs="Times New Roman"/>
          <w:noProof/>
          <w:sz w:val="24"/>
          <w:szCs w:val="24"/>
          <w:lang w:val="en-IE"/>
        </w:rPr>
        <w:t xml:space="preserve">1 </w:t>
      </w:r>
      <w:r w:rsidR="00C0229B" w:rsidRPr="00575CC5">
        <w:rPr>
          <w:rFonts w:ascii="Times New Roman" w:hAnsi="Times New Roman" w:cs="Times New Roman"/>
          <w:noProof/>
          <w:sz w:val="24"/>
          <w:szCs w:val="24"/>
          <w:lang w:val="en-IE"/>
        </w:rPr>
        <w:t xml:space="preserve">above) and the </w:t>
      </w:r>
      <w:r w:rsidR="00E5065D">
        <w:rPr>
          <w:rFonts w:ascii="Times New Roman" w:hAnsi="Times New Roman" w:cs="Times New Roman"/>
          <w:b/>
          <w:bCs/>
          <w:noProof/>
          <w:sz w:val="24"/>
          <w:szCs w:val="24"/>
          <w:lang w:val="en-IE"/>
        </w:rPr>
        <w:t>e</w:t>
      </w:r>
      <w:r w:rsidR="00E5065D" w:rsidRPr="00575CC5">
        <w:rPr>
          <w:rFonts w:ascii="Times New Roman" w:hAnsi="Times New Roman" w:cs="Times New Roman"/>
          <w:b/>
          <w:bCs/>
          <w:noProof/>
          <w:sz w:val="24"/>
          <w:szCs w:val="24"/>
          <w:lang w:val="en-IE"/>
        </w:rPr>
        <w:t xml:space="preserve">valuation </w:t>
      </w:r>
      <w:r w:rsidR="00E5065D">
        <w:rPr>
          <w:rFonts w:ascii="Times New Roman" w:hAnsi="Times New Roman" w:cs="Times New Roman"/>
          <w:b/>
          <w:bCs/>
          <w:noProof/>
          <w:sz w:val="24"/>
          <w:szCs w:val="24"/>
          <w:lang w:val="en-IE"/>
        </w:rPr>
        <w:t>m</w:t>
      </w:r>
      <w:r w:rsidR="00E5065D" w:rsidRPr="00575CC5">
        <w:rPr>
          <w:rFonts w:ascii="Times New Roman" w:hAnsi="Times New Roman" w:cs="Times New Roman"/>
          <w:b/>
          <w:bCs/>
          <w:noProof/>
          <w:sz w:val="24"/>
          <w:szCs w:val="24"/>
          <w:lang w:val="en-IE"/>
        </w:rPr>
        <w:t xml:space="preserve">atrix </w:t>
      </w:r>
      <w:r w:rsidR="00C0229B" w:rsidRPr="00575CC5">
        <w:rPr>
          <w:rFonts w:ascii="Times New Roman" w:hAnsi="Times New Roman" w:cs="Times New Roman"/>
          <w:b/>
          <w:bCs/>
          <w:noProof/>
          <w:sz w:val="24"/>
          <w:szCs w:val="24"/>
          <w:lang w:val="en-IE"/>
        </w:rPr>
        <w:t>(EM)</w:t>
      </w:r>
      <w:r w:rsidR="00C0229B" w:rsidRPr="00575CC5">
        <w:rPr>
          <w:rFonts w:ascii="Times New Roman" w:hAnsi="Times New Roman" w:cs="Times New Roman"/>
          <w:noProof/>
          <w:sz w:val="24"/>
          <w:szCs w:val="24"/>
          <w:lang w:val="en-IE"/>
        </w:rPr>
        <w:t xml:space="preserve"> (see Annex III) to conceptualise the key elements of the policy intervention, design the data collection, help to establish judgements and conclusions in response to the evaluation questions, and, finally, provide grounds for the recommendations as </w:t>
      </w:r>
      <w:r w:rsidR="00D5491D">
        <w:rPr>
          <w:rFonts w:ascii="Times New Roman" w:hAnsi="Times New Roman" w:cs="Times New Roman"/>
          <w:noProof/>
          <w:sz w:val="24"/>
          <w:szCs w:val="24"/>
          <w:lang w:val="en-IE"/>
        </w:rPr>
        <w:t xml:space="preserve">a </w:t>
      </w:r>
      <w:r w:rsidR="00C0229B" w:rsidRPr="00575CC5">
        <w:rPr>
          <w:rFonts w:ascii="Times New Roman" w:hAnsi="Times New Roman" w:cs="Times New Roman"/>
          <w:noProof/>
          <w:sz w:val="24"/>
          <w:szCs w:val="24"/>
          <w:lang w:val="en-IE"/>
        </w:rPr>
        <w:t xml:space="preserve">basis for possible future revisions of the Directive. </w:t>
      </w:r>
      <w:r w:rsidR="00071C19">
        <w:rPr>
          <w:rFonts w:ascii="Times New Roman" w:hAnsi="Times New Roman" w:cs="Times New Roman"/>
          <w:noProof/>
          <w:sz w:val="24"/>
          <w:szCs w:val="24"/>
          <w:lang w:val="en-IE"/>
        </w:rPr>
        <w:t xml:space="preserve">The </w:t>
      </w:r>
      <w:r w:rsidR="00D5491D">
        <w:rPr>
          <w:rFonts w:ascii="Times New Roman" w:hAnsi="Times New Roman" w:cs="Times New Roman"/>
          <w:noProof/>
          <w:sz w:val="24"/>
          <w:szCs w:val="24"/>
          <w:lang w:val="en-IE"/>
        </w:rPr>
        <w:t xml:space="preserve">intervention logic </w:t>
      </w:r>
      <w:r w:rsidR="00071C19">
        <w:rPr>
          <w:rFonts w:ascii="Times New Roman" w:hAnsi="Times New Roman" w:cs="Times New Roman"/>
          <w:noProof/>
          <w:sz w:val="24"/>
          <w:szCs w:val="24"/>
          <w:lang w:val="en-IE"/>
        </w:rPr>
        <w:t xml:space="preserve">is to be found in </w:t>
      </w:r>
      <w:r w:rsidR="007B6D30">
        <w:rPr>
          <w:rFonts w:ascii="Times New Roman" w:hAnsi="Times New Roman" w:cs="Times New Roman"/>
          <w:noProof/>
          <w:sz w:val="24"/>
          <w:szCs w:val="24"/>
          <w:lang w:val="en-IE"/>
        </w:rPr>
        <w:t>Figure</w:t>
      </w:r>
      <w:r w:rsidR="00D2355A">
        <w:rPr>
          <w:rFonts w:ascii="Times New Roman" w:hAnsi="Times New Roman" w:cs="Times New Roman"/>
          <w:noProof/>
          <w:sz w:val="24"/>
          <w:szCs w:val="24"/>
          <w:lang w:val="en-IE"/>
        </w:rPr>
        <w:t>s</w:t>
      </w:r>
      <w:r w:rsidR="007B6D30">
        <w:rPr>
          <w:rFonts w:ascii="Times New Roman" w:hAnsi="Times New Roman" w:cs="Times New Roman"/>
          <w:noProof/>
          <w:sz w:val="24"/>
          <w:szCs w:val="24"/>
          <w:lang w:val="en-IE"/>
        </w:rPr>
        <w:t xml:space="preserve"> </w:t>
      </w:r>
      <w:r w:rsidR="00C356D5">
        <w:rPr>
          <w:rFonts w:ascii="Times New Roman" w:hAnsi="Times New Roman" w:cs="Times New Roman"/>
          <w:noProof/>
          <w:sz w:val="24"/>
          <w:szCs w:val="24"/>
          <w:lang w:val="en-IE"/>
        </w:rPr>
        <w:t>1</w:t>
      </w:r>
      <w:r w:rsidR="00D2355A">
        <w:rPr>
          <w:rFonts w:ascii="Times New Roman" w:hAnsi="Times New Roman" w:cs="Times New Roman"/>
          <w:noProof/>
          <w:sz w:val="24"/>
          <w:szCs w:val="24"/>
          <w:lang w:val="en-IE"/>
        </w:rPr>
        <w:t xml:space="preserve"> and 2</w:t>
      </w:r>
      <w:r w:rsidR="007B6D30">
        <w:rPr>
          <w:rFonts w:ascii="Times New Roman" w:hAnsi="Times New Roman" w:cs="Times New Roman"/>
          <w:noProof/>
          <w:sz w:val="24"/>
          <w:szCs w:val="24"/>
          <w:lang w:val="en-IE"/>
        </w:rPr>
        <w:t>.</w:t>
      </w:r>
    </w:p>
    <w:p w14:paraId="6FFC7CAB" w14:textId="77777777" w:rsidR="005A3428" w:rsidRDefault="005A3428" w:rsidP="00C0229B">
      <w:pPr>
        <w:jc w:val="both"/>
        <w:rPr>
          <w:rFonts w:ascii="Times New Roman" w:hAnsi="Times New Roman" w:cs="Times New Roman"/>
          <w:noProof/>
          <w:sz w:val="24"/>
          <w:szCs w:val="24"/>
          <w:lang w:val="en-IE"/>
        </w:rPr>
      </w:pPr>
    </w:p>
    <w:p w14:paraId="6E92DED0" w14:textId="77777777" w:rsidR="005A3428" w:rsidRDefault="005A3428" w:rsidP="00C0229B">
      <w:pPr>
        <w:jc w:val="both"/>
        <w:rPr>
          <w:rFonts w:ascii="Times New Roman" w:hAnsi="Times New Roman" w:cs="Times New Roman"/>
          <w:noProof/>
          <w:sz w:val="24"/>
          <w:szCs w:val="24"/>
          <w:lang w:val="en-IE"/>
        </w:rPr>
      </w:pPr>
    </w:p>
    <w:p w14:paraId="2D69EDE3" w14:textId="77777777" w:rsidR="005A3428" w:rsidRDefault="005A3428" w:rsidP="00C0229B">
      <w:pPr>
        <w:jc w:val="both"/>
        <w:rPr>
          <w:rFonts w:ascii="Times New Roman" w:hAnsi="Times New Roman" w:cs="Times New Roman"/>
          <w:noProof/>
          <w:sz w:val="24"/>
          <w:szCs w:val="24"/>
          <w:lang w:val="en-IE"/>
        </w:rPr>
      </w:pPr>
    </w:p>
    <w:p w14:paraId="3AAF72A7" w14:textId="77777777" w:rsidR="005A3428" w:rsidRDefault="005A3428" w:rsidP="00C0229B">
      <w:pPr>
        <w:jc w:val="both"/>
        <w:rPr>
          <w:rFonts w:ascii="Times New Roman" w:hAnsi="Times New Roman" w:cs="Times New Roman"/>
          <w:noProof/>
          <w:sz w:val="24"/>
          <w:szCs w:val="24"/>
          <w:lang w:val="en-IE"/>
        </w:rPr>
      </w:pPr>
    </w:p>
    <w:p w14:paraId="3D198DE1" w14:textId="77777777" w:rsidR="005A3428" w:rsidRDefault="005A3428" w:rsidP="00C0229B">
      <w:pPr>
        <w:jc w:val="both"/>
        <w:rPr>
          <w:rFonts w:ascii="Times New Roman" w:hAnsi="Times New Roman" w:cs="Times New Roman"/>
          <w:noProof/>
          <w:sz w:val="24"/>
          <w:szCs w:val="24"/>
          <w:lang w:val="en-IE"/>
        </w:rPr>
      </w:pPr>
    </w:p>
    <w:p w14:paraId="3EDCB6EF" w14:textId="77777777" w:rsidR="005A3428" w:rsidRDefault="005A3428" w:rsidP="00C0229B">
      <w:pPr>
        <w:jc w:val="both"/>
        <w:rPr>
          <w:rFonts w:ascii="Times New Roman" w:hAnsi="Times New Roman" w:cs="Times New Roman"/>
          <w:noProof/>
          <w:sz w:val="24"/>
          <w:szCs w:val="24"/>
          <w:lang w:val="en-IE"/>
        </w:rPr>
      </w:pPr>
    </w:p>
    <w:p w14:paraId="1C54AECA" w14:textId="77777777" w:rsidR="005A3428" w:rsidRDefault="005A3428" w:rsidP="00C0229B">
      <w:pPr>
        <w:jc w:val="both"/>
        <w:rPr>
          <w:rFonts w:ascii="Times New Roman" w:hAnsi="Times New Roman" w:cs="Times New Roman"/>
          <w:noProof/>
          <w:sz w:val="24"/>
          <w:szCs w:val="24"/>
          <w:lang w:val="en-IE"/>
        </w:rPr>
      </w:pPr>
    </w:p>
    <w:p w14:paraId="67601F17" w14:textId="77777777" w:rsidR="005A3428" w:rsidRPr="00575CC5" w:rsidRDefault="005A3428" w:rsidP="00C0229B">
      <w:pPr>
        <w:jc w:val="both"/>
        <w:rPr>
          <w:rFonts w:ascii="Times New Roman" w:hAnsi="Times New Roman" w:cs="Times New Roman"/>
          <w:noProof/>
          <w:sz w:val="24"/>
          <w:szCs w:val="24"/>
          <w:lang w:val="en-IE"/>
        </w:rPr>
      </w:pPr>
    </w:p>
    <w:p w14:paraId="3C90863C" w14:textId="3C44FEFB" w:rsidR="00D2355A" w:rsidRDefault="00D2355A" w:rsidP="00C0229B">
      <w:pPr>
        <w:jc w:val="center"/>
        <w:rPr>
          <w:rFonts w:ascii="Times New Roman" w:hAnsi="Times New Roman" w:cs="Times New Roman"/>
          <w:noProof/>
          <w:sz w:val="24"/>
          <w:szCs w:val="24"/>
          <w:lang w:val="en-IE"/>
        </w:rPr>
      </w:pPr>
      <w:r w:rsidRPr="00DF4375">
        <w:rPr>
          <w:rFonts w:ascii="Times New Roman" w:hAnsi="Times New Roman" w:cs="Times New Roman"/>
          <w:i/>
          <w:iCs/>
          <w:noProof/>
          <w:sz w:val="24"/>
          <w:szCs w:val="24"/>
          <w:lang w:val="en-IE"/>
        </w:rPr>
        <w:t xml:space="preserve">Fig. </w:t>
      </w:r>
      <w:r>
        <w:rPr>
          <w:rFonts w:ascii="Times New Roman" w:hAnsi="Times New Roman" w:cs="Times New Roman"/>
          <w:i/>
          <w:iCs/>
          <w:noProof/>
          <w:sz w:val="24"/>
          <w:szCs w:val="24"/>
          <w:lang w:val="en-IE"/>
        </w:rPr>
        <w:t>2</w:t>
      </w:r>
      <w:r w:rsidRPr="00DF4375">
        <w:rPr>
          <w:rFonts w:ascii="Times New Roman" w:hAnsi="Times New Roman" w:cs="Times New Roman"/>
          <w:i/>
          <w:iCs/>
          <w:noProof/>
          <w:sz w:val="24"/>
          <w:szCs w:val="24"/>
          <w:lang w:val="en-IE"/>
        </w:rPr>
        <w:t xml:space="preserve"> Intervention logic</w:t>
      </w:r>
    </w:p>
    <w:p w14:paraId="36827BD6" w14:textId="46D59962" w:rsidR="00C0229B" w:rsidRPr="00575CC5" w:rsidRDefault="00C0229B" w:rsidP="00C0229B">
      <w:pPr>
        <w:jc w:val="center"/>
        <w:rPr>
          <w:rFonts w:ascii="Times New Roman" w:hAnsi="Times New Roman" w:cs="Times New Roman"/>
          <w:noProof/>
          <w:sz w:val="24"/>
          <w:szCs w:val="24"/>
          <w:lang w:val="en-IE"/>
        </w:rPr>
      </w:pPr>
      <w:r w:rsidRPr="00575CC5">
        <w:rPr>
          <w:rFonts w:ascii="Times New Roman" w:hAnsi="Times New Roman" w:cs="Times New Roman"/>
          <w:noProof/>
          <w:lang w:eastAsia="en-GB"/>
        </w:rPr>
        <w:drawing>
          <wp:inline distT="0" distB="0" distL="0" distR="0" wp14:anchorId="0B6A19E0" wp14:editId="0F3CF6E8">
            <wp:extent cx="6059804" cy="3949856"/>
            <wp:effectExtent l="0" t="0" r="0" b="0"/>
            <wp:docPr id="61" name="Picture 6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diagram of a company&#10;&#10;AI-generated content may be incorrect."/>
                    <pic:cNvPicPr/>
                  </pic:nvPicPr>
                  <pic:blipFill>
                    <a:blip r:embed="rId41"/>
                    <a:stretch>
                      <a:fillRect/>
                    </a:stretch>
                  </pic:blipFill>
                  <pic:spPr>
                    <a:xfrm>
                      <a:off x="0" y="0"/>
                      <a:ext cx="6119479" cy="3988753"/>
                    </a:xfrm>
                    <a:prstGeom prst="rect">
                      <a:avLst/>
                    </a:prstGeom>
                  </pic:spPr>
                </pic:pic>
              </a:graphicData>
            </a:graphic>
          </wp:inline>
        </w:drawing>
      </w:r>
    </w:p>
    <w:p w14:paraId="5F98CF68" w14:textId="6C5B58F9" w:rsidR="00C0229B" w:rsidRPr="00575CC5" w:rsidRDefault="00C0229B" w:rsidP="00C0229B">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The study </w:t>
      </w:r>
      <w:r w:rsidR="00435522">
        <w:rPr>
          <w:rFonts w:ascii="Times New Roman" w:hAnsi="Times New Roman" w:cs="Times New Roman"/>
          <w:noProof/>
          <w:sz w:val="24"/>
          <w:szCs w:val="24"/>
          <w:lang w:val="en-IE"/>
        </w:rPr>
        <w:t>supporting the evaluation</w:t>
      </w:r>
      <w:r w:rsidR="00D5491D">
        <w:rPr>
          <w:rFonts w:ascii="Times New Roman" w:hAnsi="Times New Roman" w:cs="Times New Roman"/>
          <w:noProof/>
          <w:sz w:val="24"/>
          <w:szCs w:val="24"/>
          <w:lang w:val="en-IE"/>
        </w:rPr>
        <w:t xml:space="preserve"> involved</w:t>
      </w:r>
      <w:r w:rsidRPr="00575CC5">
        <w:rPr>
          <w:rFonts w:ascii="Times New Roman" w:hAnsi="Times New Roman" w:cs="Times New Roman"/>
          <w:noProof/>
          <w:sz w:val="24"/>
          <w:szCs w:val="24"/>
          <w:lang w:val="en-IE"/>
        </w:rPr>
        <w:t xml:space="preserve"> </w:t>
      </w:r>
      <w:r w:rsidR="00D5491D" w:rsidRPr="00575CC5">
        <w:rPr>
          <w:rFonts w:ascii="Times New Roman" w:hAnsi="Times New Roman" w:cs="Times New Roman"/>
          <w:noProof/>
          <w:sz w:val="24"/>
          <w:szCs w:val="24"/>
          <w:lang w:val="en-IE"/>
        </w:rPr>
        <w:t>organis</w:t>
      </w:r>
      <w:r w:rsidR="00D5491D">
        <w:rPr>
          <w:rFonts w:ascii="Times New Roman" w:hAnsi="Times New Roman" w:cs="Times New Roman"/>
          <w:noProof/>
          <w:sz w:val="24"/>
          <w:szCs w:val="24"/>
          <w:lang w:val="en-IE"/>
        </w:rPr>
        <w:t>ing</w:t>
      </w:r>
      <w:r w:rsidR="00D5491D"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and </w:t>
      </w:r>
      <w:r w:rsidR="009720B4">
        <w:rPr>
          <w:rFonts w:ascii="Times New Roman" w:hAnsi="Times New Roman" w:cs="Times New Roman"/>
          <w:noProof/>
          <w:sz w:val="24"/>
          <w:szCs w:val="24"/>
          <w:lang w:val="en-IE"/>
        </w:rPr>
        <w:t>making use of six</w:t>
      </w:r>
      <w:r w:rsidR="00D5491D"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different data collection activities to assess the performance of the Directive: desk research, discovery interviews, targeted consultations (via surveys and interviews), statistical data collection, case studies and, expert input through workshops.</w:t>
      </w:r>
    </w:p>
    <w:p w14:paraId="405C434F" w14:textId="07714285" w:rsidR="00C0229B" w:rsidRPr="00575CC5" w:rsidRDefault="00C87C82" w:rsidP="00C87C82">
      <w:pPr>
        <w:pStyle w:val="Heading3"/>
        <w:numPr>
          <w:ilvl w:val="1"/>
          <w:numId w:val="24"/>
        </w:numPr>
        <w:rPr>
          <w:rFonts w:ascii="Times New Roman" w:hAnsi="Times New Roman" w:cs="Times New Roman"/>
          <w:b/>
          <w:bCs/>
          <w:noProof/>
          <w:color w:val="000000" w:themeColor="text1"/>
          <w:lang w:val="en-IE"/>
        </w:rPr>
      </w:pPr>
      <w:bookmarkStart w:id="79" w:name="_Toc218852106"/>
      <w:bookmarkStart w:id="80" w:name="_Toc223439270"/>
      <w:r w:rsidRPr="00575CC5">
        <w:rPr>
          <w:rFonts w:ascii="Times New Roman" w:hAnsi="Times New Roman" w:cs="Times New Roman"/>
          <w:b/>
          <w:bCs/>
          <w:noProof/>
          <w:color w:val="000000" w:themeColor="text1"/>
          <w:lang w:val="en-IE"/>
        </w:rPr>
        <w:t xml:space="preserve">Stakeholder </w:t>
      </w:r>
      <w:bookmarkEnd w:id="79"/>
      <w:r w:rsidR="001A5204">
        <w:rPr>
          <w:rFonts w:ascii="Times New Roman" w:hAnsi="Times New Roman" w:cs="Times New Roman"/>
          <w:b/>
          <w:bCs/>
          <w:noProof/>
          <w:color w:val="000000" w:themeColor="text1"/>
          <w:lang w:val="en-IE"/>
        </w:rPr>
        <w:t>c</w:t>
      </w:r>
      <w:r w:rsidR="001A5204" w:rsidRPr="00575CC5">
        <w:rPr>
          <w:rFonts w:ascii="Times New Roman" w:hAnsi="Times New Roman" w:cs="Times New Roman"/>
          <w:b/>
          <w:bCs/>
          <w:noProof/>
          <w:color w:val="000000" w:themeColor="text1"/>
          <w:lang w:val="en-IE"/>
        </w:rPr>
        <w:t>onsultation</w:t>
      </w:r>
      <w:bookmarkEnd w:id="80"/>
    </w:p>
    <w:p w14:paraId="3F295572" w14:textId="6D73F39D" w:rsidR="00C87C82" w:rsidRPr="00575CC5" w:rsidRDefault="00C87C82" w:rsidP="00C87C82">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Continuous stakeholder engagement </w:t>
      </w:r>
      <w:r w:rsidR="001A5204">
        <w:rPr>
          <w:rFonts w:ascii="Times New Roman" w:hAnsi="Times New Roman" w:cs="Times New Roman"/>
          <w:noProof/>
          <w:sz w:val="24"/>
          <w:szCs w:val="24"/>
          <w:lang w:val="en-IE"/>
        </w:rPr>
        <w:t>was</w:t>
      </w:r>
      <w:r w:rsidRPr="00575CC5">
        <w:rPr>
          <w:rFonts w:ascii="Times New Roman" w:hAnsi="Times New Roman" w:cs="Times New Roman"/>
          <w:noProof/>
          <w:sz w:val="24"/>
          <w:szCs w:val="24"/>
          <w:lang w:val="en-IE"/>
        </w:rPr>
        <w:t xml:space="preserve"> crucial for the success of this assignment</w:t>
      </w:r>
      <w:r w:rsidR="001A5204">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 xml:space="preserve"> since the</w:t>
      </w:r>
      <w:r w:rsidR="001A5204">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stakeholders</w:t>
      </w:r>
      <w:r w:rsidR="001A5204">
        <w:rPr>
          <w:rFonts w:ascii="Times New Roman" w:hAnsi="Times New Roman" w:cs="Times New Roman"/>
          <w:noProof/>
          <w:sz w:val="24"/>
          <w:szCs w:val="24"/>
          <w:lang w:val="en-IE"/>
        </w:rPr>
        <w:t>’ input</w:t>
      </w:r>
      <w:r w:rsidRPr="00575CC5">
        <w:rPr>
          <w:rFonts w:ascii="Times New Roman" w:hAnsi="Times New Roman" w:cs="Times New Roman"/>
          <w:noProof/>
          <w:sz w:val="24"/>
          <w:szCs w:val="24"/>
          <w:lang w:val="en-IE"/>
        </w:rPr>
        <w:t xml:space="preserve"> in the ecosystem </w:t>
      </w:r>
      <w:r w:rsidR="005C2928">
        <w:rPr>
          <w:rFonts w:ascii="Times New Roman" w:hAnsi="Times New Roman" w:cs="Times New Roman"/>
          <w:noProof/>
          <w:sz w:val="24"/>
          <w:szCs w:val="24"/>
          <w:lang w:val="en-IE"/>
        </w:rPr>
        <w:t>was</w:t>
      </w:r>
      <w:r w:rsidR="005C2928"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key </w:t>
      </w:r>
      <w:r w:rsidR="005C2928">
        <w:rPr>
          <w:rFonts w:ascii="Times New Roman" w:hAnsi="Times New Roman" w:cs="Times New Roman"/>
          <w:noProof/>
          <w:sz w:val="24"/>
          <w:szCs w:val="24"/>
          <w:lang w:val="en-IE"/>
        </w:rPr>
        <w:t>to</w:t>
      </w:r>
      <w:r w:rsidR="005C2928"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gathering the required data and formulating findings.</w:t>
      </w:r>
    </w:p>
    <w:p w14:paraId="10BFE018" w14:textId="3A336341" w:rsidR="00C0229B" w:rsidRPr="00575CC5" w:rsidRDefault="00C87C82" w:rsidP="00C87C82">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The data</w:t>
      </w:r>
      <w:r w:rsidR="005C2928">
        <w:rPr>
          <w:rFonts w:ascii="Times New Roman" w:hAnsi="Times New Roman" w:cs="Times New Roman"/>
          <w:noProof/>
          <w:sz w:val="24"/>
          <w:szCs w:val="24"/>
          <w:lang w:val="en-IE"/>
        </w:rPr>
        <w:t>-</w:t>
      </w:r>
      <w:r w:rsidRPr="00575CC5">
        <w:rPr>
          <w:rFonts w:ascii="Times New Roman" w:hAnsi="Times New Roman" w:cs="Times New Roman"/>
          <w:noProof/>
          <w:sz w:val="24"/>
          <w:szCs w:val="24"/>
          <w:lang w:val="en-IE"/>
        </w:rPr>
        <w:t>collection tools selected for this study included: desk research, interviews, online survey, meetings and tertiary experts</w:t>
      </w:r>
      <w:r w:rsidR="005C2928">
        <w:rPr>
          <w:rFonts w:ascii="Times New Roman" w:hAnsi="Times New Roman" w:cs="Times New Roman"/>
          <w:noProof/>
          <w:sz w:val="24"/>
          <w:szCs w:val="24"/>
          <w:lang w:val="en-IE"/>
        </w:rPr>
        <w:t>. The</w:t>
      </w:r>
      <w:r w:rsidRPr="00575CC5">
        <w:rPr>
          <w:rFonts w:ascii="Times New Roman" w:hAnsi="Times New Roman" w:cs="Times New Roman"/>
          <w:noProof/>
          <w:sz w:val="24"/>
          <w:szCs w:val="24"/>
          <w:lang w:val="en-IE"/>
        </w:rPr>
        <w:t xml:space="preserve"> interviews and online survey are the stakeholder consultation tools of most importance for this synopsis report (v. Annex V). </w:t>
      </w:r>
    </w:p>
    <w:p w14:paraId="29BD167D" w14:textId="2CEF2975" w:rsidR="00C87C82" w:rsidRPr="00575CC5" w:rsidRDefault="00C87C82" w:rsidP="00C87C82">
      <w:pPr>
        <w:pStyle w:val="Heading3"/>
        <w:numPr>
          <w:ilvl w:val="1"/>
          <w:numId w:val="24"/>
        </w:numPr>
        <w:rPr>
          <w:rFonts w:ascii="Times New Roman" w:hAnsi="Times New Roman" w:cs="Times New Roman"/>
          <w:b/>
          <w:bCs/>
          <w:noProof/>
          <w:color w:val="000000" w:themeColor="text1"/>
          <w:lang w:val="en-IE"/>
        </w:rPr>
      </w:pPr>
      <w:bookmarkStart w:id="81" w:name="_Toc218852107"/>
      <w:bookmarkStart w:id="82" w:name="_Toc223439271"/>
      <w:r w:rsidRPr="00575CC5">
        <w:rPr>
          <w:rFonts w:ascii="Times New Roman" w:hAnsi="Times New Roman" w:cs="Times New Roman"/>
          <w:b/>
          <w:bCs/>
          <w:noProof/>
          <w:color w:val="000000" w:themeColor="text1"/>
          <w:lang w:val="en-IE"/>
        </w:rPr>
        <w:t xml:space="preserve">Data </w:t>
      </w:r>
      <w:r w:rsidR="008B511B">
        <w:rPr>
          <w:rFonts w:ascii="Times New Roman" w:hAnsi="Times New Roman" w:cs="Times New Roman"/>
          <w:b/>
          <w:bCs/>
          <w:noProof/>
          <w:color w:val="000000" w:themeColor="text1"/>
          <w:lang w:val="en-IE"/>
        </w:rPr>
        <w:t>a</w:t>
      </w:r>
      <w:r w:rsidR="008B511B" w:rsidRPr="00575CC5">
        <w:rPr>
          <w:rFonts w:ascii="Times New Roman" w:hAnsi="Times New Roman" w:cs="Times New Roman"/>
          <w:b/>
          <w:bCs/>
          <w:noProof/>
          <w:color w:val="000000" w:themeColor="text1"/>
          <w:lang w:val="en-IE"/>
        </w:rPr>
        <w:t xml:space="preserve">nalysis </w:t>
      </w:r>
      <w:r w:rsidR="008B511B">
        <w:rPr>
          <w:rFonts w:ascii="Times New Roman" w:hAnsi="Times New Roman" w:cs="Times New Roman"/>
          <w:b/>
          <w:bCs/>
          <w:noProof/>
          <w:color w:val="000000" w:themeColor="text1"/>
          <w:lang w:val="en-IE"/>
        </w:rPr>
        <w:t>t</w:t>
      </w:r>
      <w:r w:rsidR="008B511B" w:rsidRPr="00575CC5">
        <w:rPr>
          <w:rFonts w:ascii="Times New Roman" w:hAnsi="Times New Roman" w:cs="Times New Roman"/>
          <w:b/>
          <w:bCs/>
          <w:noProof/>
          <w:color w:val="000000" w:themeColor="text1"/>
          <w:lang w:val="en-IE"/>
        </w:rPr>
        <w:t xml:space="preserve">echniques </w:t>
      </w:r>
      <w:r w:rsidRPr="00575CC5">
        <w:rPr>
          <w:rFonts w:ascii="Times New Roman" w:hAnsi="Times New Roman" w:cs="Times New Roman"/>
          <w:b/>
          <w:bCs/>
          <w:noProof/>
          <w:color w:val="000000" w:themeColor="text1"/>
          <w:lang w:val="en-IE"/>
        </w:rPr>
        <w:t xml:space="preserve">and </w:t>
      </w:r>
      <w:bookmarkEnd w:id="81"/>
      <w:r w:rsidR="008B511B">
        <w:rPr>
          <w:rFonts w:ascii="Times New Roman" w:hAnsi="Times New Roman" w:cs="Times New Roman"/>
          <w:b/>
          <w:bCs/>
          <w:noProof/>
          <w:color w:val="000000" w:themeColor="text1"/>
          <w:lang w:val="en-IE"/>
        </w:rPr>
        <w:t>to</w:t>
      </w:r>
      <w:r w:rsidR="008B511B" w:rsidRPr="00575CC5">
        <w:rPr>
          <w:rFonts w:ascii="Times New Roman" w:hAnsi="Times New Roman" w:cs="Times New Roman"/>
          <w:b/>
          <w:bCs/>
          <w:noProof/>
          <w:color w:val="000000" w:themeColor="text1"/>
          <w:lang w:val="en-IE"/>
        </w:rPr>
        <w:t>ols</w:t>
      </w:r>
      <w:bookmarkEnd w:id="82"/>
    </w:p>
    <w:p w14:paraId="13B14A3C" w14:textId="0450BC99" w:rsidR="00C87C82" w:rsidRPr="00575CC5" w:rsidRDefault="00C87C82" w:rsidP="008A47B8">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To ensure the robustness of the data and the independence of the evaluation, the study team performed data triangulation as the main data analysis technique, in order to </w:t>
      </w:r>
      <w:r w:rsidR="008B511B">
        <w:rPr>
          <w:rFonts w:ascii="Times New Roman" w:hAnsi="Times New Roman" w:cs="Times New Roman"/>
          <w:noProof/>
          <w:sz w:val="24"/>
          <w:szCs w:val="24"/>
          <w:lang w:val="en-IE"/>
        </w:rPr>
        <w:t>conduct</w:t>
      </w:r>
      <w:r w:rsidR="008B511B"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 comprehensive assessment of the </w:t>
      </w:r>
      <w:r w:rsidR="008B511B">
        <w:rPr>
          <w:rFonts w:ascii="Times New Roman" w:hAnsi="Times New Roman" w:cs="Times New Roman"/>
          <w:noProof/>
          <w:sz w:val="24"/>
          <w:szCs w:val="24"/>
          <w:lang w:val="en-IE"/>
        </w:rPr>
        <w:t>e</w:t>
      </w:r>
      <w:r w:rsidR="008B511B" w:rsidRPr="00575CC5">
        <w:rPr>
          <w:rFonts w:ascii="Times New Roman" w:hAnsi="Times New Roman" w:cs="Times New Roman"/>
          <w:noProof/>
          <w:sz w:val="24"/>
          <w:szCs w:val="24"/>
          <w:lang w:val="en-IE"/>
        </w:rPr>
        <w:t xml:space="preserve">valuation </w:t>
      </w:r>
      <w:r w:rsidR="008B511B">
        <w:rPr>
          <w:rFonts w:ascii="Times New Roman" w:hAnsi="Times New Roman" w:cs="Times New Roman"/>
          <w:noProof/>
          <w:sz w:val="24"/>
          <w:szCs w:val="24"/>
          <w:lang w:val="en-IE"/>
        </w:rPr>
        <w:t>m</w:t>
      </w:r>
      <w:r w:rsidR="008B511B" w:rsidRPr="00575CC5">
        <w:rPr>
          <w:rFonts w:ascii="Times New Roman" w:hAnsi="Times New Roman" w:cs="Times New Roman"/>
          <w:noProof/>
          <w:sz w:val="24"/>
          <w:szCs w:val="24"/>
          <w:lang w:val="en-IE"/>
        </w:rPr>
        <w:t>atrix</w:t>
      </w:r>
      <w:r w:rsidRPr="00575CC5">
        <w:rPr>
          <w:rFonts w:ascii="Times New Roman" w:hAnsi="Times New Roman" w:cs="Times New Roman"/>
          <w:noProof/>
          <w:sz w:val="24"/>
          <w:szCs w:val="24"/>
          <w:lang w:val="en-IE"/>
        </w:rPr>
        <w:t xml:space="preserve"> and carry out the case studies. </w:t>
      </w:r>
    </w:p>
    <w:p w14:paraId="10EC1FB6" w14:textId="219CCC41" w:rsidR="00C87C82" w:rsidRPr="00575CC5" w:rsidRDefault="00C87C82" w:rsidP="008A47B8">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Once the empirical data </w:t>
      </w:r>
      <w:r w:rsidR="00524857" w:rsidRPr="00575CC5">
        <w:rPr>
          <w:rFonts w:ascii="Times New Roman" w:hAnsi="Times New Roman" w:cs="Times New Roman"/>
          <w:noProof/>
          <w:sz w:val="24"/>
          <w:szCs w:val="24"/>
          <w:lang w:val="en-IE"/>
        </w:rPr>
        <w:t>ha</w:t>
      </w:r>
      <w:r w:rsidR="00524857">
        <w:rPr>
          <w:rFonts w:ascii="Times New Roman" w:hAnsi="Times New Roman" w:cs="Times New Roman"/>
          <w:noProof/>
          <w:sz w:val="24"/>
          <w:szCs w:val="24"/>
          <w:lang w:val="en-IE"/>
        </w:rPr>
        <w:t>d</w:t>
      </w:r>
      <w:r w:rsidR="00524857"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been gathered, triangulation was used to ensure data quality, objectivity and relevance. Furthermore, triangulation proved useful </w:t>
      </w:r>
      <w:r w:rsidR="00A248FC">
        <w:rPr>
          <w:rFonts w:ascii="Times New Roman" w:hAnsi="Times New Roman" w:cs="Times New Roman"/>
          <w:noProof/>
          <w:sz w:val="24"/>
          <w:szCs w:val="24"/>
          <w:lang w:val="en-IE"/>
        </w:rPr>
        <w:t>when putting</w:t>
      </w:r>
      <w:r w:rsidRPr="00575CC5">
        <w:rPr>
          <w:rFonts w:ascii="Times New Roman" w:hAnsi="Times New Roman" w:cs="Times New Roman"/>
          <w:noProof/>
          <w:sz w:val="24"/>
          <w:szCs w:val="24"/>
          <w:lang w:val="en-IE"/>
        </w:rPr>
        <w:t xml:space="preserve"> together the quantitative and qualitative data and </w:t>
      </w:r>
      <w:r w:rsidR="007407BB">
        <w:rPr>
          <w:rFonts w:ascii="Times New Roman" w:hAnsi="Times New Roman" w:cs="Times New Roman"/>
          <w:noProof/>
          <w:sz w:val="24"/>
          <w:szCs w:val="24"/>
          <w:lang w:val="en-IE"/>
        </w:rPr>
        <w:t>ensuring</w:t>
      </w:r>
      <w:r w:rsidRPr="00575CC5">
        <w:rPr>
          <w:rFonts w:ascii="Times New Roman" w:hAnsi="Times New Roman" w:cs="Times New Roman"/>
          <w:noProof/>
          <w:sz w:val="24"/>
          <w:szCs w:val="24"/>
          <w:lang w:val="en-IE"/>
        </w:rPr>
        <w:t xml:space="preserve"> overall coherence of the analysis. The figure below shows the main sources of data feeding into the triangulation exercise (desk research, online survey and interviews):</w:t>
      </w:r>
    </w:p>
    <w:p w14:paraId="59F7545F" w14:textId="77777777" w:rsidR="00C87C82" w:rsidRPr="00575CC5" w:rsidRDefault="00C87C82" w:rsidP="00C87C82">
      <w:pPr>
        <w:rPr>
          <w:rFonts w:ascii="Times New Roman" w:hAnsi="Times New Roman" w:cs="Times New Roman"/>
          <w:noProof/>
          <w:sz w:val="24"/>
          <w:szCs w:val="24"/>
          <w:lang w:val="en-IE"/>
        </w:rPr>
      </w:pPr>
    </w:p>
    <w:p w14:paraId="5B680459" w14:textId="7A020F0B" w:rsidR="00C87C82" w:rsidRPr="00575CC5" w:rsidRDefault="00C87C82" w:rsidP="00C87C82">
      <w:pPr>
        <w:jc w:val="center"/>
        <w:rPr>
          <w:rFonts w:ascii="Times New Roman" w:hAnsi="Times New Roman" w:cs="Times New Roman"/>
          <w:noProof/>
          <w:sz w:val="24"/>
          <w:szCs w:val="24"/>
          <w:lang w:val="en-IE"/>
        </w:rPr>
      </w:pPr>
      <w:r w:rsidRPr="00575CC5">
        <w:rPr>
          <w:rFonts w:ascii="Times New Roman" w:hAnsi="Times New Roman" w:cs="Times New Roman"/>
          <w:noProof/>
          <w:lang w:eastAsia="en-GB"/>
        </w:rPr>
        <w:drawing>
          <wp:inline distT="0" distB="0" distL="0" distR="0" wp14:anchorId="3C080AD0" wp14:editId="1B93A41B">
            <wp:extent cx="4944347" cy="2199735"/>
            <wp:effectExtent l="0" t="0" r="8890" b="0"/>
            <wp:docPr id="931206897" name="Picture 931206897" descr="A screenshot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06897" name="Picture 931206897" descr="A screenshot of a puzzle&#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4944347" cy="2199735"/>
                    </a:xfrm>
                    <a:prstGeom prst="rect">
                      <a:avLst/>
                    </a:prstGeom>
                  </pic:spPr>
                </pic:pic>
              </a:graphicData>
            </a:graphic>
          </wp:inline>
        </w:drawing>
      </w:r>
    </w:p>
    <w:p w14:paraId="5EB075A1" w14:textId="77777777" w:rsidR="00C87C82" w:rsidRPr="00575CC5" w:rsidRDefault="00C87C82" w:rsidP="00C87C82">
      <w:pPr>
        <w:jc w:val="center"/>
        <w:rPr>
          <w:rFonts w:ascii="Times New Roman" w:hAnsi="Times New Roman" w:cs="Times New Roman"/>
          <w:noProof/>
          <w:sz w:val="24"/>
          <w:szCs w:val="24"/>
          <w:lang w:val="en-IE"/>
        </w:rPr>
      </w:pPr>
    </w:p>
    <w:p w14:paraId="1E3BD5D6" w14:textId="3CF97BDA" w:rsidR="00147D71" w:rsidRPr="00575CC5" w:rsidRDefault="00147D71"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83" w:name="_Toc223439272"/>
      <w:r w:rsidRPr="00575CC5">
        <w:rPr>
          <w:noProof/>
          <w:szCs w:val="24"/>
        </w:rPr>
        <w:t xml:space="preserve">Annex III. Evaluation </w:t>
      </w:r>
      <w:r w:rsidR="006A4E17" w:rsidRPr="00575CC5">
        <w:rPr>
          <w:noProof/>
          <w:szCs w:val="24"/>
        </w:rPr>
        <w:t>m</w:t>
      </w:r>
      <w:r w:rsidR="00167A34" w:rsidRPr="00575CC5">
        <w:rPr>
          <w:noProof/>
          <w:szCs w:val="24"/>
        </w:rPr>
        <w:t>atrix</w:t>
      </w:r>
      <w:bookmarkEnd w:id="83"/>
    </w:p>
    <w:p w14:paraId="29D4714D" w14:textId="17549350" w:rsidR="00C87C82" w:rsidRPr="00575CC5" w:rsidRDefault="00C87C82" w:rsidP="00C87C82">
      <w:pPr>
        <w:pStyle w:val="Heading2"/>
        <w:numPr>
          <w:ilvl w:val="0"/>
          <w:numId w:val="28"/>
        </w:numPr>
        <w:rPr>
          <w:noProof/>
        </w:rPr>
      </w:pPr>
      <w:bookmarkStart w:id="84" w:name="_Toc218852109"/>
      <w:bookmarkStart w:id="85" w:name="_Toc223439273"/>
      <w:r w:rsidRPr="00575CC5">
        <w:rPr>
          <w:noProof/>
        </w:rPr>
        <w:t xml:space="preserve">Evaluation </w:t>
      </w:r>
      <w:bookmarkEnd w:id="84"/>
      <w:r w:rsidR="007407BB">
        <w:rPr>
          <w:noProof/>
        </w:rPr>
        <w:t>m</w:t>
      </w:r>
      <w:r w:rsidR="007407BB" w:rsidRPr="00575CC5">
        <w:rPr>
          <w:noProof/>
        </w:rPr>
        <w:t>atrix</w:t>
      </w:r>
      <w:bookmarkEnd w:id="85"/>
    </w:p>
    <w:p w14:paraId="7E1A2C26" w14:textId="44092888" w:rsidR="00C87C82" w:rsidRPr="00575CC5" w:rsidRDefault="007407BB" w:rsidP="00C87C82">
      <w:pPr>
        <w:jc w:val="both"/>
        <w:rPr>
          <w:rFonts w:ascii="Times New Roman" w:hAnsi="Times New Roman" w:cs="Times New Roman"/>
          <w:iCs/>
          <w:noProof/>
          <w:sz w:val="24"/>
          <w:szCs w:val="24"/>
          <w:lang w:val="en-IE"/>
        </w:rPr>
      </w:pPr>
      <w:r>
        <w:rPr>
          <w:rFonts w:ascii="Times New Roman" w:hAnsi="Times New Roman" w:cs="Times New Roman"/>
          <w:iCs/>
          <w:noProof/>
          <w:sz w:val="24"/>
          <w:szCs w:val="24"/>
          <w:lang w:val="en-IE"/>
        </w:rPr>
        <w:t>In keeping with</w:t>
      </w:r>
      <w:r w:rsidRPr="00575CC5">
        <w:rPr>
          <w:rFonts w:ascii="Times New Roman" w:hAnsi="Times New Roman" w:cs="Times New Roman"/>
          <w:iCs/>
          <w:noProof/>
          <w:sz w:val="24"/>
          <w:szCs w:val="24"/>
          <w:lang w:val="en-IE"/>
        </w:rPr>
        <w:t xml:space="preserve"> </w:t>
      </w:r>
      <w:r w:rsidR="00C87C82" w:rsidRPr="00575CC5">
        <w:rPr>
          <w:rFonts w:ascii="Times New Roman" w:hAnsi="Times New Roman" w:cs="Times New Roman"/>
          <w:iCs/>
          <w:noProof/>
          <w:sz w:val="24"/>
          <w:szCs w:val="24"/>
          <w:lang w:val="en-IE"/>
        </w:rPr>
        <w:t xml:space="preserve">the Better Regulation Guidelines, this evaluation used the </w:t>
      </w:r>
      <w:r w:rsidR="00795BB4">
        <w:rPr>
          <w:rFonts w:ascii="Times New Roman" w:hAnsi="Times New Roman" w:cs="Times New Roman"/>
          <w:b/>
          <w:bCs/>
          <w:iCs/>
          <w:noProof/>
          <w:sz w:val="24"/>
          <w:szCs w:val="24"/>
          <w:lang w:val="en-IE"/>
        </w:rPr>
        <w:t>i</w:t>
      </w:r>
      <w:r w:rsidR="00C87C82" w:rsidRPr="00575CC5">
        <w:rPr>
          <w:rFonts w:ascii="Times New Roman" w:hAnsi="Times New Roman" w:cs="Times New Roman"/>
          <w:b/>
          <w:bCs/>
          <w:iCs/>
          <w:noProof/>
          <w:sz w:val="24"/>
          <w:szCs w:val="24"/>
          <w:lang w:val="en-IE"/>
        </w:rPr>
        <w:t xml:space="preserve">ntervention </w:t>
      </w:r>
      <w:r w:rsidR="00795BB4">
        <w:rPr>
          <w:rFonts w:ascii="Times New Roman" w:hAnsi="Times New Roman" w:cs="Times New Roman"/>
          <w:b/>
          <w:bCs/>
          <w:iCs/>
          <w:noProof/>
          <w:sz w:val="24"/>
          <w:szCs w:val="24"/>
          <w:lang w:val="en-IE"/>
        </w:rPr>
        <w:t>l</w:t>
      </w:r>
      <w:r w:rsidR="00C87C82" w:rsidRPr="00575CC5">
        <w:rPr>
          <w:rFonts w:ascii="Times New Roman" w:hAnsi="Times New Roman" w:cs="Times New Roman"/>
          <w:b/>
          <w:bCs/>
          <w:iCs/>
          <w:noProof/>
          <w:sz w:val="24"/>
          <w:szCs w:val="24"/>
          <w:lang w:val="en-IE"/>
        </w:rPr>
        <w:t>ogic (IL)</w:t>
      </w:r>
      <w:r w:rsidR="00C87C82" w:rsidRPr="00575CC5">
        <w:rPr>
          <w:rFonts w:ascii="Times New Roman" w:hAnsi="Times New Roman" w:cs="Times New Roman"/>
          <w:iCs/>
          <w:noProof/>
          <w:sz w:val="24"/>
          <w:szCs w:val="24"/>
          <w:lang w:val="en-IE"/>
        </w:rPr>
        <w:t xml:space="preserve"> and the </w:t>
      </w:r>
      <w:r w:rsidR="00795BB4">
        <w:rPr>
          <w:rFonts w:ascii="Times New Roman" w:hAnsi="Times New Roman" w:cs="Times New Roman"/>
          <w:b/>
          <w:bCs/>
          <w:iCs/>
          <w:noProof/>
          <w:sz w:val="24"/>
          <w:szCs w:val="24"/>
          <w:lang w:val="en-IE"/>
        </w:rPr>
        <w:t>e</w:t>
      </w:r>
      <w:r w:rsidR="00C87C82" w:rsidRPr="00575CC5">
        <w:rPr>
          <w:rFonts w:ascii="Times New Roman" w:hAnsi="Times New Roman" w:cs="Times New Roman"/>
          <w:b/>
          <w:bCs/>
          <w:iCs/>
          <w:noProof/>
          <w:sz w:val="24"/>
          <w:szCs w:val="24"/>
          <w:lang w:val="en-IE"/>
        </w:rPr>
        <w:t xml:space="preserve">valuation </w:t>
      </w:r>
      <w:r w:rsidR="00795BB4">
        <w:rPr>
          <w:rFonts w:ascii="Times New Roman" w:hAnsi="Times New Roman" w:cs="Times New Roman"/>
          <w:b/>
          <w:bCs/>
          <w:iCs/>
          <w:noProof/>
          <w:sz w:val="24"/>
          <w:szCs w:val="24"/>
          <w:lang w:val="en-IE"/>
        </w:rPr>
        <w:t>m</w:t>
      </w:r>
      <w:r w:rsidR="00795BB4" w:rsidRPr="00575CC5">
        <w:rPr>
          <w:rFonts w:ascii="Times New Roman" w:hAnsi="Times New Roman" w:cs="Times New Roman"/>
          <w:b/>
          <w:bCs/>
          <w:iCs/>
          <w:noProof/>
          <w:sz w:val="24"/>
          <w:szCs w:val="24"/>
          <w:lang w:val="en-IE"/>
        </w:rPr>
        <w:t xml:space="preserve">atrix </w:t>
      </w:r>
      <w:r w:rsidR="00C87C82" w:rsidRPr="00575CC5">
        <w:rPr>
          <w:rFonts w:ascii="Times New Roman" w:hAnsi="Times New Roman" w:cs="Times New Roman"/>
          <w:b/>
          <w:bCs/>
          <w:iCs/>
          <w:noProof/>
          <w:sz w:val="24"/>
          <w:szCs w:val="24"/>
          <w:lang w:val="en-IE"/>
        </w:rPr>
        <w:t>(EM)</w:t>
      </w:r>
      <w:r w:rsidR="00C87C82" w:rsidRPr="00575CC5">
        <w:rPr>
          <w:rFonts w:ascii="Times New Roman" w:hAnsi="Times New Roman" w:cs="Times New Roman"/>
          <w:iCs/>
          <w:noProof/>
          <w:sz w:val="24"/>
          <w:szCs w:val="24"/>
          <w:lang w:val="en-IE"/>
        </w:rPr>
        <w:t xml:space="preserve"> to conceptualise the key elements of the policy intervention, design the data collection, help to establish judgements and conclusions in response to the evaluation questions, and, finally, provide grounds for the recommendations as </w:t>
      </w:r>
      <w:r w:rsidR="00795BB4">
        <w:rPr>
          <w:rFonts w:ascii="Times New Roman" w:hAnsi="Times New Roman" w:cs="Times New Roman"/>
          <w:iCs/>
          <w:noProof/>
          <w:sz w:val="24"/>
          <w:szCs w:val="24"/>
          <w:lang w:val="en-IE"/>
        </w:rPr>
        <w:t xml:space="preserve">a </w:t>
      </w:r>
      <w:r w:rsidR="00C87C82" w:rsidRPr="00575CC5">
        <w:rPr>
          <w:rFonts w:ascii="Times New Roman" w:hAnsi="Times New Roman" w:cs="Times New Roman"/>
          <w:iCs/>
          <w:noProof/>
          <w:sz w:val="24"/>
          <w:szCs w:val="24"/>
          <w:lang w:val="en-IE"/>
        </w:rPr>
        <w:t xml:space="preserve">basis for possible future revisions of the Directive. </w:t>
      </w:r>
    </w:p>
    <w:p w14:paraId="4D1C9967" w14:textId="77777777" w:rsidR="00C87C82" w:rsidRPr="00575CC5" w:rsidRDefault="00C87C82" w:rsidP="00C87C82">
      <w:pPr>
        <w:jc w:val="both"/>
        <w:rPr>
          <w:rFonts w:ascii="Times New Roman" w:hAnsi="Times New Roman" w:cs="Times New Roman"/>
          <w:iCs/>
          <w:noProof/>
          <w:sz w:val="24"/>
          <w:szCs w:val="24"/>
          <w:lang w:val="en-IE"/>
        </w:rPr>
      </w:pPr>
      <w:r w:rsidRPr="00575CC5">
        <w:rPr>
          <w:rFonts w:ascii="Times New Roman" w:hAnsi="Times New Roman" w:cs="Times New Roman"/>
          <w:iCs/>
          <w:noProof/>
          <w:sz w:val="24"/>
          <w:szCs w:val="24"/>
          <w:lang w:val="en-IE"/>
        </w:rPr>
        <w:t>Through dedicated data collection activities and analysis, the study aimed to provide an evidence-based answer to the following overarching questions, matching the evaluation criteria:</w:t>
      </w:r>
    </w:p>
    <w:p w14:paraId="5D35D7F6" w14:textId="2E64CC50" w:rsidR="00C87C82" w:rsidRPr="00575CC5" w:rsidRDefault="00C87C82" w:rsidP="71D79366">
      <w:pPr>
        <w:numPr>
          <w:ilvl w:val="0"/>
          <w:numId w:val="29"/>
        </w:numPr>
        <w:jc w:val="both"/>
        <w:rPr>
          <w:rFonts w:ascii="Times New Roman" w:hAnsi="Times New Roman" w:cs="Times New Roman"/>
          <w:noProof/>
          <w:sz w:val="24"/>
          <w:szCs w:val="24"/>
        </w:rPr>
      </w:pPr>
      <w:r w:rsidRPr="00575CC5">
        <w:rPr>
          <w:rFonts w:ascii="Times New Roman" w:hAnsi="Times New Roman" w:cs="Times New Roman"/>
          <w:noProof/>
          <w:sz w:val="24"/>
          <w:szCs w:val="24"/>
          <w:lang w:val="en-IE"/>
        </w:rPr>
        <w:t xml:space="preserve">How effective has the Directive been? </w:t>
      </w:r>
      <w:r w:rsidRPr="00575CC5">
        <w:rPr>
          <w:rFonts w:ascii="Times New Roman" w:hAnsi="Times New Roman" w:cs="Times New Roman"/>
          <w:noProof/>
          <w:sz w:val="24"/>
          <w:szCs w:val="24"/>
        </w:rPr>
        <w:t>(</w:t>
      </w:r>
      <w:r w:rsidR="00795BB4">
        <w:rPr>
          <w:rFonts w:ascii="Times New Roman" w:hAnsi="Times New Roman" w:cs="Times New Roman"/>
          <w:noProof/>
          <w:sz w:val="24"/>
          <w:szCs w:val="24"/>
        </w:rPr>
        <w:t>e</w:t>
      </w:r>
      <w:r w:rsidR="00795BB4" w:rsidRPr="00575CC5">
        <w:rPr>
          <w:rFonts w:ascii="Times New Roman" w:hAnsi="Times New Roman" w:cs="Times New Roman"/>
          <w:noProof/>
          <w:sz w:val="24"/>
          <w:szCs w:val="24"/>
        </w:rPr>
        <w:t xml:space="preserve">ffectiveness </w:t>
      </w:r>
      <w:r w:rsidRPr="00575CC5">
        <w:rPr>
          <w:rFonts w:ascii="Times New Roman" w:hAnsi="Times New Roman" w:cs="Times New Roman"/>
          <w:noProof/>
          <w:sz w:val="24"/>
          <w:szCs w:val="24"/>
        </w:rPr>
        <w:t xml:space="preserve">criterion); </w:t>
      </w:r>
    </w:p>
    <w:p w14:paraId="75AAE682" w14:textId="6BFEE9E8" w:rsidR="00C87C82" w:rsidRPr="00575CC5" w:rsidRDefault="00C87C82" w:rsidP="71D79366">
      <w:pPr>
        <w:numPr>
          <w:ilvl w:val="0"/>
          <w:numId w:val="29"/>
        </w:numPr>
        <w:jc w:val="both"/>
        <w:rPr>
          <w:rFonts w:ascii="Times New Roman" w:hAnsi="Times New Roman" w:cs="Times New Roman"/>
          <w:noProof/>
          <w:sz w:val="24"/>
          <w:szCs w:val="24"/>
        </w:rPr>
      </w:pPr>
      <w:r w:rsidRPr="00575CC5">
        <w:rPr>
          <w:rFonts w:ascii="Times New Roman" w:hAnsi="Times New Roman" w:cs="Times New Roman"/>
          <w:noProof/>
          <w:sz w:val="24"/>
          <w:szCs w:val="24"/>
          <w:lang w:val="en-IE"/>
        </w:rPr>
        <w:t xml:space="preserve">How efficient has the Directive been? </w:t>
      </w:r>
      <w:r w:rsidRPr="00575CC5">
        <w:rPr>
          <w:rFonts w:ascii="Times New Roman" w:hAnsi="Times New Roman" w:cs="Times New Roman"/>
          <w:noProof/>
          <w:sz w:val="24"/>
          <w:szCs w:val="24"/>
        </w:rPr>
        <w:t>(</w:t>
      </w:r>
      <w:r w:rsidR="00795BB4">
        <w:rPr>
          <w:rFonts w:ascii="Times New Roman" w:hAnsi="Times New Roman" w:cs="Times New Roman"/>
          <w:noProof/>
          <w:sz w:val="24"/>
          <w:szCs w:val="24"/>
        </w:rPr>
        <w:t>e</w:t>
      </w:r>
      <w:r w:rsidR="00795BB4" w:rsidRPr="00575CC5">
        <w:rPr>
          <w:rFonts w:ascii="Times New Roman" w:hAnsi="Times New Roman" w:cs="Times New Roman"/>
          <w:noProof/>
          <w:sz w:val="24"/>
          <w:szCs w:val="24"/>
        </w:rPr>
        <w:t xml:space="preserve">fficiency </w:t>
      </w:r>
      <w:r w:rsidRPr="00575CC5">
        <w:rPr>
          <w:rFonts w:ascii="Times New Roman" w:hAnsi="Times New Roman" w:cs="Times New Roman"/>
          <w:noProof/>
          <w:sz w:val="24"/>
          <w:szCs w:val="24"/>
        </w:rPr>
        <w:t xml:space="preserve">criterion); </w:t>
      </w:r>
    </w:p>
    <w:p w14:paraId="385A09E1" w14:textId="2D60691C" w:rsidR="00C87C82" w:rsidRPr="00575CC5" w:rsidRDefault="00C87C82" w:rsidP="71D79366">
      <w:pPr>
        <w:numPr>
          <w:ilvl w:val="0"/>
          <w:numId w:val="29"/>
        </w:numPr>
        <w:jc w:val="both"/>
        <w:rPr>
          <w:rFonts w:ascii="Times New Roman" w:hAnsi="Times New Roman" w:cs="Times New Roman"/>
          <w:noProof/>
          <w:sz w:val="24"/>
          <w:szCs w:val="24"/>
        </w:rPr>
      </w:pPr>
      <w:r w:rsidRPr="00575CC5">
        <w:rPr>
          <w:rFonts w:ascii="Times New Roman" w:hAnsi="Times New Roman" w:cs="Times New Roman"/>
          <w:noProof/>
          <w:sz w:val="24"/>
          <w:szCs w:val="24"/>
          <w:lang w:val="en-IE"/>
        </w:rPr>
        <w:t xml:space="preserve">How relevant is the Directive? </w:t>
      </w:r>
      <w:r w:rsidRPr="00575CC5">
        <w:rPr>
          <w:rFonts w:ascii="Times New Roman" w:hAnsi="Times New Roman" w:cs="Times New Roman"/>
          <w:noProof/>
          <w:sz w:val="24"/>
          <w:szCs w:val="24"/>
        </w:rPr>
        <w:t>(</w:t>
      </w:r>
      <w:r w:rsidR="00795BB4">
        <w:rPr>
          <w:rFonts w:ascii="Times New Roman" w:hAnsi="Times New Roman" w:cs="Times New Roman"/>
          <w:noProof/>
          <w:sz w:val="24"/>
          <w:szCs w:val="24"/>
        </w:rPr>
        <w:t>r</w:t>
      </w:r>
      <w:r w:rsidR="00795BB4" w:rsidRPr="00575CC5">
        <w:rPr>
          <w:rFonts w:ascii="Times New Roman" w:hAnsi="Times New Roman" w:cs="Times New Roman"/>
          <w:noProof/>
          <w:sz w:val="24"/>
          <w:szCs w:val="24"/>
        </w:rPr>
        <w:t xml:space="preserve">elevance </w:t>
      </w:r>
      <w:r w:rsidRPr="00575CC5">
        <w:rPr>
          <w:rFonts w:ascii="Times New Roman" w:hAnsi="Times New Roman" w:cs="Times New Roman"/>
          <w:noProof/>
          <w:sz w:val="24"/>
          <w:szCs w:val="24"/>
        </w:rPr>
        <w:t xml:space="preserve">criterion); </w:t>
      </w:r>
    </w:p>
    <w:p w14:paraId="7139D1EE" w14:textId="18BB6DCB" w:rsidR="00C87C82" w:rsidRPr="00575CC5" w:rsidRDefault="00C87C82" w:rsidP="00C87C82">
      <w:pPr>
        <w:numPr>
          <w:ilvl w:val="0"/>
          <w:numId w:val="29"/>
        </w:num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 xml:space="preserve">What is the added value provided by addressing this issue via the Directive compared </w:t>
      </w:r>
      <w:r w:rsidR="00455964">
        <w:rPr>
          <w:rFonts w:ascii="Times New Roman" w:hAnsi="Times New Roman" w:cs="Times New Roman"/>
          <w:iCs/>
          <w:noProof/>
          <w:sz w:val="24"/>
          <w:szCs w:val="24"/>
        </w:rPr>
        <w:t>with</w:t>
      </w:r>
      <w:r w:rsidR="00455964" w:rsidRPr="00575CC5">
        <w:rPr>
          <w:rFonts w:ascii="Times New Roman" w:hAnsi="Times New Roman" w:cs="Times New Roman"/>
          <w:iCs/>
          <w:noProof/>
          <w:sz w:val="24"/>
          <w:szCs w:val="24"/>
        </w:rPr>
        <w:t xml:space="preserve"> </w:t>
      </w:r>
      <w:r w:rsidRPr="00575CC5">
        <w:rPr>
          <w:rFonts w:ascii="Times New Roman" w:hAnsi="Times New Roman" w:cs="Times New Roman"/>
          <w:iCs/>
          <w:noProof/>
          <w:sz w:val="24"/>
          <w:szCs w:val="24"/>
        </w:rPr>
        <w:t xml:space="preserve">an approach </w:t>
      </w:r>
      <w:r w:rsidR="00455964">
        <w:rPr>
          <w:rFonts w:ascii="Times New Roman" w:hAnsi="Times New Roman" w:cs="Times New Roman"/>
          <w:iCs/>
          <w:noProof/>
          <w:sz w:val="24"/>
          <w:szCs w:val="24"/>
        </w:rPr>
        <w:t>at</w:t>
      </w:r>
      <w:r w:rsidR="00455964" w:rsidRPr="00575CC5">
        <w:rPr>
          <w:rFonts w:ascii="Times New Roman" w:hAnsi="Times New Roman" w:cs="Times New Roman"/>
          <w:iCs/>
          <w:noProof/>
          <w:sz w:val="24"/>
          <w:szCs w:val="24"/>
        </w:rPr>
        <w:t xml:space="preserve"> </w:t>
      </w:r>
      <w:r w:rsidRPr="00575CC5">
        <w:rPr>
          <w:rFonts w:ascii="Times New Roman" w:hAnsi="Times New Roman" w:cs="Times New Roman"/>
          <w:iCs/>
          <w:noProof/>
          <w:sz w:val="24"/>
          <w:szCs w:val="24"/>
        </w:rPr>
        <w:t>national level? (EU added value criterion</w:t>
      </w:r>
      <w:r w:rsidR="00A83F18">
        <w:rPr>
          <w:rFonts w:ascii="Times New Roman" w:hAnsi="Times New Roman" w:cs="Times New Roman"/>
          <w:iCs/>
          <w:noProof/>
          <w:sz w:val="24"/>
          <w:szCs w:val="24"/>
        </w:rPr>
        <w:t>);</w:t>
      </w:r>
    </w:p>
    <w:p w14:paraId="52378574" w14:textId="696FBC7E" w:rsidR="00C87C82" w:rsidRPr="00575CC5" w:rsidRDefault="00C87C82" w:rsidP="00C87C82">
      <w:pPr>
        <w:numPr>
          <w:ilvl w:val="0"/>
          <w:numId w:val="29"/>
        </w:num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How coherent and consistent is the Directive with other ongoing initiatives (</w:t>
      </w:r>
      <w:r w:rsidR="00455964">
        <w:rPr>
          <w:rFonts w:ascii="Times New Roman" w:hAnsi="Times New Roman" w:cs="Times New Roman"/>
          <w:iCs/>
          <w:noProof/>
          <w:sz w:val="24"/>
          <w:szCs w:val="24"/>
        </w:rPr>
        <w:t>c</w:t>
      </w:r>
      <w:r w:rsidR="00455964" w:rsidRPr="00575CC5">
        <w:rPr>
          <w:rFonts w:ascii="Times New Roman" w:hAnsi="Times New Roman" w:cs="Times New Roman"/>
          <w:iCs/>
          <w:noProof/>
          <w:sz w:val="24"/>
          <w:szCs w:val="24"/>
        </w:rPr>
        <w:t xml:space="preserve">oherence </w:t>
      </w:r>
      <w:r w:rsidRPr="00575CC5">
        <w:rPr>
          <w:rFonts w:ascii="Times New Roman" w:hAnsi="Times New Roman" w:cs="Times New Roman"/>
          <w:iCs/>
          <w:noProof/>
          <w:sz w:val="24"/>
          <w:szCs w:val="24"/>
        </w:rPr>
        <w:t xml:space="preserve">criterion); </w:t>
      </w:r>
    </w:p>
    <w:p w14:paraId="3707A5DB" w14:textId="1D1E5802" w:rsidR="00C87C82" w:rsidRPr="00575CC5" w:rsidRDefault="00C87C82" w:rsidP="00C87C82">
      <w:pPr>
        <w:numPr>
          <w:ilvl w:val="0"/>
          <w:numId w:val="29"/>
        </w:num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 xml:space="preserve">Did the implementation of the Directive and its assessed impact respect </w:t>
      </w:r>
      <w:r w:rsidR="00455964">
        <w:rPr>
          <w:rFonts w:ascii="Times New Roman" w:hAnsi="Times New Roman" w:cs="Times New Roman"/>
          <w:iCs/>
          <w:noProof/>
          <w:sz w:val="24"/>
          <w:szCs w:val="24"/>
        </w:rPr>
        <w:t>f</w:t>
      </w:r>
      <w:r w:rsidR="00455964" w:rsidRPr="00575CC5">
        <w:rPr>
          <w:rFonts w:ascii="Times New Roman" w:hAnsi="Times New Roman" w:cs="Times New Roman"/>
          <w:iCs/>
          <w:noProof/>
          <w:sz w:val="24"/>
          <w:szCs w:val="24"/>
        </w:rPr>
        <w:t xml:space="preserve">undamental </w:t>
      </w:r>
      <w:r w:rsidR="00455964">
        <w:rPr>
          <w:rFonts w:ascii="Times New Roman" w:hAnsi="Times New Roman" w:cs="Times New Roman"/>
          <w:iCs/>
          <w:noProof/>
          <w:sz w:val="24"/>
          <w:szCs w:val="24"/>
        </w:rPr>
        <w:t>r</w:t>
      </w:r>
      <w:r w:rsidR="00455964" w:rsidRPr="00575CC5">
        <w:rPr>
          <w:rFonts w:ascii="Times New Roman" w:hAnsi="Times New Roman" w:cs="Times New Roman"/>
          <w:iCs/>
          <w:noProof/>
          <w:sz w:val="24"/>
          <w:szCs w:val="24"/>
        </w:rPr>
        <w:t xml:space="preserve">ights </w:t>
      </w:r>
      <w:r w:rsidRPr="00575CC5">
        <w:rPr>
          <w:rFonts w:ascii="Times New Roman" w:hAnsi="Times New Roman" w:cs="Times New Roman"/>
          <w:iCs/>
          <w:noProof/>
          <w:sz w:val="24"/>
          <w:szCs w:val="24"/>
        </w:rPr>
        <w:t>(</w:t>
      </w:r>
      <w:r w:rsidR="00455964">
        <w:rPr>
          <w:rFonts w:ascii="Times New Roman" w:hAnsi="Times New Roman" w:cs="Times New Roman"/>
          <w:iCs/>
          <w:noProof/>
          <w:sz w:val="24"/>
          <w:szCs w:val="24"/>
        </w:rPr>
        <w:t>f</w:t>
      </w:r>
      <w:r w:rsidR="00455964" w:rsidRPr="00575CC5">
        <w:rPr>
          <w:rFonts w:ascii="Times New Roman" w:hAnsi="Times New Roman" w:cs="Times New Roman"/>
          <w:iCs/>
          <w:noProof/>
          <w:sz w:val="24"/>
          <w:szCs w:val="24"/>
        </w:rPr>
        <w:t xml:space="preserve">undamental </w:t>
      </w:r>
      <w:r w:rsidR="00455964">
        <w:rPr>
          <w:rFonts w:ascii="Times New Roman" w:hAnsi="Times New Roman" w:cs="Times New Roman"/>
          <w:iCs/>
          <w:noProof/>
          <w:sz w:val="24"/>
          <w:szCs w:val="24"/>
        </w:rPr>
        <w:t>r</w:t>
      </w:r>
      <w:r w:rsidR="00455964" w:rsidRPr="00575CC5">
        <w:rPr>
          <w:rFonts w:ascii="Times New Roman" w:hAnsi="Times New Roman" w:cs="Times New Roman"/>
          <w:iCs/>
          <w:noProof/>
          <w:sz w:val="24"/>
          <w:szCs w:val="24"/>
        </w:rPr>
        <w:t xml:space="preserve">ights </w:t>
      </w:r>
      <w:r w:rsidRPr="00575CC5">
        <w:rPr>
          <w:rFonts w:ascii="Times New Roman" w:hAnsi="Times New Roman" w:cs="Times New Roman"/>
          <w:iCs/>
          <w:noProof/>
          <w:sz w:val="24"/>
          <w:szCs w:val="24"/>
        </w:rPr>
        <w:t>criterion).</w:t>
      </w:r>
    </w:p>
    <w:p w14:paraId="3B729FEB" w14:textId="30231760" w:rsidR="00C87C82" w:rsidRPr="00575CC5" w:rsidRDefault="00455964" w:rsidP="00C87C82">
      <w:pPr>
        <w:jc w:val="both"/>
        <w:rPr>
          <w:rFonts w:ascii="Times New Roman" w:hAnsi="Times New Roman" w:cs="Times New Roman"/>
          <w:iCs/>
          <w:noProof/>
          <w:sz w:val="24"/>
          <w:szCs w:val="24"/>
          <w:lang w:val="en-IE"/>
        </w:rPr>
      </w:pPr>
      <w:r>
        <w:rPr>
          <w:rFonts w:ascii="Times New Roman" w:hAnsi="Times New Roman" w:cs="Times New Roman"/>
          <w:iCs/>
          <w:noProof/>
          <w:sz w:val="24"/>
          <w:szCs w:val="24"/>
          <w:lang w:val="en-IE"/>
        </w:rPr>
        <w:t>Th</w:t>
      </w:r>
      <w:r w:rsidR="00C87C82" w:rsidRPr="00575CC5">
        <w:rPr>
          <w:rFonts w:ascii="Times New Roman" w:hAnsi="Times New Roman" w:cs="Times New Roman"/>
          <w:iCs/>
          <w:noProof/>
          <w:sz w:val="24"/>
          <w:szCs w:val="24"/>
          <w:lang w:val="en-IE"/>
        </w:rPr>
        <w:t>e Evaluation Matrix contained questions that address the following three levels of evaluation of the Directive:</w:t>
      </w:r>
    </w:p>
    <w:p w14:paraId="376DE0A6" w14:textId="77777777" w:rsidR="00C87C82" w:rsidRPr="00575CC5" w:rsidRDefault="00C87C82" w:rsidP="00C87C82">
      <w:pPr>
        <w:numPr>
          <w:ilvl w:val="0"/>
          <w:numId w:val="30"/>
        </w:num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Evaluation of the Directive itself;</w:t>
      </w:r>
    </w:p>
    <w:p w14:paraId="0D5017D3" w14:textId="1DB01855" w:rsidR="00C87C82" w:rsidRPr="00575CC5" w:rsidRDefault="00C87C82" w:rsidP="00C87C82">
      <w:pPr>
        <w:numPr>
          <w:ilvl w:val="0"/>
          <w:numId w:val="30"/>
        </w:num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 xml:space="preserve">Evaluation of the transposition of the Directive; </w:t>
      </w:r>
    </w:p>
    <w:p w14:paraId="54AEB31F" w14:textId="77777777" w:rsidR="00C87C82" w:rsidRPr="00575CC5" w:rsidRDefault="00C87C82" w:rsidP="00C87C82">
      <w:pPr>
        <w:numPr>
          <w:ilvl w:val="0"/>
          <w:numId w:val="30"/>
        </w:num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Evaluation of the practical implementation of the Directive.</w:t>
      </w:r>
    </w:p>
    <w:p w14:paraId="4D1A9250" w14:textId="23998335" w:rsidR="00C87C82" w:rsidRPr="00575CC5" w:rsidRDefault="00C87C82" w:rsidP="00C87C82">
      <w:pPr>
        <w:jc w:val="both"/>
        <w:rPr>
          <w:rFonts w:ascii="Times New Roman" w:hAnsi="Times New Roman" w:cs="Times New Roman"/>
          <w:iCs/>
          <w:noProof/>
          <w:sz w:val="24"/>
          <w:szCs w:val="24"/>
        </w:rPr>
      </w:pPr>
      <w:r w:rsidRPr="00575CC5">
        <w:rPr>
          <w:rFonts w:ascii="Times New Roman" w:hAnsi="Times New Roman" w:cs="Times New Roman"/>
          <w:iCs/>
          <w:noProof/>
          <w:sz w:val="24"/>
          <w:szCs w:val="24"/>
        </w:rPr>
        <w:t xml:space="preserve">Beyond the assessment of </w:t>
      </w:r>
      <w:r w:rsidR="00331F3B">
        <w:rPr>
          <w:rFonts w:ascii="Times New Roman" w:hAnsi="Times New Roman" w:cs="Times New Roman"/>
          <w:iCs/>
          <w:noProof/>
          <w:sz w:val="24"/>
          <w:szCs w:val="24"/>
        </w:rPr>
        <w:t xml:space="preserve">the </w:t>
      </w:r>
      <w:r w:rsidRPr="00575CC5">
        <w:rPr>
          <w:rFonts w:ascii="Times New Roman" w:hAnsi="Times New Roman" w:cs="Times New Roman"/>
          <w:iCs/>
          <w:noProof/>
          <w:sz w:val="24"/>
          <w:szCs w:val="24"/>
        </w:rPr>
        <w:t>Directive</w:t>
      </w:r>
      <w:r w:rsidR="00331F3B">
        <w:rPr>
          <w:rFonts w:ascii="Times New Roman" w:hAnsi="Times New Roman" w:cs="Times New Roman"/>
          <w:iCs/>
          <w:noProof/>
          <w:sz w:val="24"/>
          <w:szCs w:val="24"/>
        </w:rPr>
        <w:t>’s impact</w:t>
      </w:r>
      <w:r w:rsidRPr="00575CC5">
        <w:rPr>
          <w:rFonts w:ascii="Times New Roman" w:hAnsi="Times New Roman" w:cs="Times New Roman"/>
          <w:iCs/>
          <w:noProof/>
          <w:sz w:val="24"/>
          <w:szCs w:val="24"/>
        </w:rPr>
        <w:t xml:space="preserve"> based on the five criteria – as well as the </w:t>
      </w:r>
      <w:r w:rsidR="001D41AD">
        <w:rPr>
          <w:rFonts w:ascii="Times New Roman" w:hAnsi="Times New Roman" w:cs="Times New Roman"/>
          <w:iCs/>
          <w:noProof/>
          <w:sz w:val="24"/>
          <w:szCs w:val="24"/>
        </w:rPr>
        <w:t>f</w:t>
      </w:r>
      <w:r w:rsidR="001D41AD" w:rsidRPr="00575CC5">
        <w:rPr>
          <w:rFonts w:ascii="Times New Roman" w:hAnsi="Times New Roman" w:cs="Times New Roman"/>
          <w:iCs/>
          <w:noProof/>
          <w:sz w:val="24"/>
          <w:szCs w:val="24"/>
        </w:rPr>
        <w:t xml:space="preserve">undamental </w:t>
      </w:r>
      <w:r w:rsidR="001D41AD">
        <w:rPr>
          <w:rFonts w:ascii="Times New Roman" w:hAnsi="Times New Roman" w:cs="Times New Roman"/>
          <w:iCs/>
          <w:noProof/>
          <w:sz w:val="24"/>
          <w:szCs w:val="24"/>
        </w:rPr>
        <w:t>r</w:t>
      </w:r>
      <w:r w:rsidR="001D41AD" w:rsidRPr="00575CC5">
        <w:rPr>
          <w:rFonts w:ascii="Times New Roman" w:hAnsi="Times New Roman" w:cs="Times New Roman"/>
          <w:iCs/>
          <w:noProof/>
          <w:sz w:val="24"/>
          <w:szCs w:val="24"/>
        </w:rPr>
        <w:t xml:space="preserve">ights </w:t>
      </w:r>
      <w:r w:rsidRPr="00575CC5">
        <w:rPr>
          <w:rFonts w:ascii="Times New Roman" w:hAnsi="Times New Roman" w:cs="Times New Roman"/>
          <w:iCs/>
          <w:noProof/>
          <w:sz w:val="24"/>
          <w:szCs w:val="24"/>
        </w:rPr>
        <w:t xml:space="preserve">– in accordance with the Better Regulation Guidelines and based on the analysis and input received from different stakeholders, the study also </w:t>
      </w:r>
      <w:r w:rsidR="006612F0">
        <w:rPr>
          <w:rFonts w:ascii="Times New Roman" w:hAnsi="Times New Roman" w:cs="Times New Roman"/>
          <w:iCs/>
          <w:noProof/>
          <w:sz w:val="24"/>
          <w:szCs w:val="24"/>
        </w:rPr>
        <w:t>drew on</w:t>
      </w:r>
      <w:r w:rsidR="006612F0" w:rsidRPr="00575CC5">
        <w:rPr>
          <w:rFonts w:ascii="Times New Roman" w:hAnsi="Times New Roman" w:cs="Times New Roman"/>
          <w:iCs/>
          <w:noProof/>
          <w:sz w:val="24"/>
          <w:szCs w:val="24"/>
        </w:rPr>
        <w:t xml:space="preserve"> </w:t>
      </w:r>
      <w:r w:rsidRPr="00575CC5">
        <w:rPr>
          <w:rFonts w:ascii="Times New Roman" w:hAnsi="Times New Roman" w:cs="Times New Roman"/>
          <w:iCs/>
          <w:noProof/>
          <w:sz w:val="24"/>
          <w:szCs w:val="24"/>
        </w:rPr>
        <w:t>its data collection exercises and the case studies to identify potential improvements regarding any legal, technical, and operational aspects associated with the Directive</w:t>
      </w:r>
      <w:r w:rsidR="006612F0">
        <w:rPr>
          <w:rFonts w:ascii="Times New Roman" w:hAnsi="Times New Roman" w:cs="Times New Roman"/>
          <w:iCs/>
          <w:noProof/>
          <w:sz w:val="24"/>
          <w:szCs w:val="24"/>
        </w:rPr>
        <w:t>. It thus provided</w:t>
      </w:r>
      <w:r w:rsidRPr="00575CC5">
        <w:rPr>
          <w:rFonts w:ascii="Times New Roman" w:hAnsi="Times New Roman" w:cs="Times New Roman"/>
          <w:iCs/>
          <w:noProof/>
          <w:sz w:val="24"/>
          <w:szCs w:val="24"/>
        </w:rPr>
        <w:t xml:space="preserve"> DG HOME with clear and actionable recommendations. This future-oriented comprehensive analysis of the Directive was</w:t>
      </w:r>
      <w:r w:rsidR="006612F0">
        <w:rPr>
          <w:rFonts w:ascii="Times New Roman" w:hAnsi="Times New Roman" w:cs="Times New Roman"/>
          <w:iCs/>
          <w:noProof/>
          <w:sz w:val="24"/>
          <w:szCs w:val="24"/>
        </w:rPr>
        <w:t xml:space="preserve"> also</w:t>
      </w:r>
      <w:r w:rsidRPr="00575CC5">
        <w:rPr>
          <w:rFonts w:ascii="Times New Roman" w:hAnsi="Times New Roman" w:cs="Times New Roman"/>
          <w:iCs/>
          <w:noProof/>
          <w:sz w:val="24"/>
          <w:szCs w:val="24"/>
        </w:rPr>
        <w:t xml:space="preserve"> included in the </w:t>
      </w:r>
      <w:r w:rsidR="006612F0">
        <w:rPr>
          <w:rFonts w:ascii="Times New Roman" w:hAnsi="Times New Roman" w:cs="Times New Roman"/>
          <w:iCs/>
          <w:noProof/>
          <w:sz w:val="24"/>
          <w:szCs w:val="24"/>
        </w:rPr>
        <w:t>e</w:t>
      </w:r>
      <w:r w:rsidR="006612F0" w:rsidRPr="00575CC5">
        <w:rPr>
          <w:rFonts w:ascii="Times New Roman" w:hAnsi="Times New Roman" w:cs="Times New Roman"/>
          <w:iCs/>
          <w:noProof/>
          <w:sz w:val="24"/>
          <w:szCs w:val="24"/>
        </w:rPr>
        <w:t xml:space="preserve">valuation </w:t>
      </w:r>
      <w:r w:rsidR="006612F0">
        <w:rPr>
          <w:rFonts w:ascii="Times New Roman" w:hAnsi="Times New Roman" w:cs="Times New Roman"/>
          <w:iCs/>
          <w:noProof/>
          <w:sz w:val="24"/>
          <w:szCs w:val="24"/>
        </w:rPr>
        <w:t>m</w:t>
      </w:r>
      <w:r w:rsidR="006612F0" w:rsidRPr="00575CC5">
        <w:rPr>
          <w:rFonts w:ascii="Times New Roman" w:hAnsi="Times New Roman" w:cs="Times New Roman"/>
          <w:iCs/>
          <w:noProof/>
          <w:sz w:val="24"/>
          <w:szCs w:val="24"/>
        </w:rPr>
        <w:t>atrix</w:t>
      </w:r>
      <w:r w:rsidRPr="00575CC5">
        <w:rPr>
          <w:rFonts w:ascii="Times New Roman" w:hAnsi="Times New Roman" w:cs="Times New Roman"/>
          <w:iCs/>
          <w:noProof/>
          <w:sz w:val="24"/>
          <w:szCs w:val="24"/>
        </w:rPr>
        <w:t xml:space="preserve">.  </w:t>
      </w:r>
    </w:p>
    <w:p w14:paraId="0F6BF00A" w14:textId="534B59A0" w:rsidR="00C87C82" w:rsidRPr="00575CC5" w:rsidRDefault="00C87C82" w:rsidP="00C87C82">
      <w:pPr>
        <w:jc w:val="both"/>
        <w:rPr>
          <w:rFonts w:ascii="Times New Roman" w:hAnsi="Times New Roman" w:cs="Times New Roman"/>
          <w:iCs/>
          <w:noProof/>
          <w:sz w:val="24"/>
          <w:szCs w:val="24"/>
          <w:lang w:val="en-IE"/>
        </w:rPr>
      </w:pPr>
      <w:r w:rsidRPr="00575CC5">
        <w:rPr>
          <w:rFonts w:ascii="Times New Roman" w:hAnsi="Times New Roman" w:cs="Times New Roman"/>
          <w:iCs/>
          <w:noProof/>
          <w:sz w:val="24"/>
          <w:szCs w:val="24"/>
          <w:lang w:val="en-IE"/>
        </w:rPr>
        <w:t>Further</w:t>
      </w:r>
      <w:r w:rsidR="006612F0">
        <w:rPr>
          <w:rFonts w:ascii="Times New Roman" w:hAnsi="Times New Roman" w:cs="Times New Roman"/>
          <w:iCs/>
          <w:noProof/>
          <w:sz w:val="24"/>
          <w:szCs w:val="24"/>
          <w:lang w:val="en-IE"/>
        </w:rPr>
        <w:t>more</w:t>
      </w:r>
      <w:r w:rsidRPr="00575CC5">
        <w:rPr>
          <w:rFonts w:ascii="Times New Roman" w:hAnsi="Times New Roman" w:cs="Times New Roman"/>
          <w:iCs/>
          <w:noProof/>
          <w:sz w:val="24"/>
          <w:szCs w:val="24"/>
          <w:lang w:val="en-IE"/>
        </w:rPr>
        <w:t xml:space="preserve">, three case studies </w:t>
      </w:r>
      <w:r w:rsidR="006612F0">
        <w:rPr>
          <w:rFonts w:ascii="Times New Roman" w:hAnsi="Times New Roman" w:cs="Times New Roman"/>
          <w:iCs/>
          <w:noProof/>
          <w:sz w:val="24"/>
          <w:szCs w:val="24"/>
          <w:lang w:val="en-IE"/>
        </w:rPr>
        <w:t>were</w:t>
      </w:r>
      <w:r w:rsidR="006612F0" w:rsidRPr="00575CC5">
        <w:rPr>
          <w:rFonts w:ascii="Times New Roman" w:hAnsi="Times New Roman" w:cs="Times New Roman"/>
          <w:iCs/>
          <w:noProof/>
          <w:sz w:val="24"/>
          <w:szCs w:val="24"/>
          <w:lang w:val="en-IE"/>
        </w:rPr>
        <w:t xml:space="preserve"> </w:t>
      </w:r>
      <w:r w:rsidRPr="00575CC5">
        <w:rPr>
          <w:rFonts w:ascii="Times New Roman" w:hAnsi="Times New Roman" w:cs="Times New Roman"/>
          <w:iCs/>
          <w:noProof/>
          <w:sz w:val="24"/>
          <w:szCs w:val="24"/>
          <w:lang w:val="en-IE"/>
        </w:rPr>
        <w:t>carried out in the context of the study, in order to provide additional insights in</w:t>
      </w:r>
      <w:r w:rsidR="006B0338">
        <w:rPr>
          <w:rFonts w:ascii="Times New Roman" w:hAnsi="Times New Roman" w:cs="Times New Roman"/>
          <w:iCs/>
          <w:noProof/>
          <w:sz w:val="24"/>
          <w:szCs w:val="24"/>
          <w:lang w:val="en-IE"/>
        </w:rPr>
        <w:t>to</w:t>
      </w:r>
      <w:r w:rsidRPr="00575CC5">
        <w:rPr>
          <w:rFonts w:ascii="Times New Roman" w:hAnsi="Times New Roman" w:cs="Times New Roman"/>
          <w:iCs/>
          <w:noProof/>
          <w:sz w:val="24"/>
          <w:szCs w:val="24"/>
          <w:lang w:val="en-IE"/>
        </w:rPr>
        <w:t xml:space="preserve"> the performance of the Directive and supplement the overall assessment. </w:t>
      </w:r>
    </w:p>
    <w:p w14:paraId="0BDA7C71" w14:textId="05EFCAE4" w:rsidR="00C87C82" w:rsidRPr="00575CC5" w:rsidRDefault="00C87C82" w:rsidP="00C87C82">
      <w:pPr>
        <w:pStyle w:val="Heading2"/>
        <w:numPr>
          <w:ilvl w:val="0"/>
          <w:numId w:val="28"/>
        </w:numPr>
        <w:rPr>
          <w:noProof/>
        </w:rPr>
      </w:pPr>
      <w:bookmarkStart w:id="86" w:name="_Toc218852110"/>
      <w:bookmarkStart w:id="87" w:name="_Toc223439274"/>
      <w:r w:rsidRPr="00575CC5">
        <w:rPr>
          <w:noProof/>
        </w:rPr>
        <w:t>Effectiveness</w:t>
      </w:r>
      <w:bookmarkEnd w:id="86"/>
      <w:bookmarkEnd w:id="87"/>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43725F55" w14:textId="77777777">
        <w:trPr>
          <w:trHeight w:val="20"/>
          <w:tblHeader/>
        </w:trPr>
        <w:tc>
          <w:tcPr>
            <w:tcW w:w="903" w:type="pct"/>
            <w:shd w:val="clear" w:color="auto" w:fill="F2F2F2" w:themeFill="background1" w:themeFillShade="F2"/>
          </w:tcPr>
          <w:p w14:paraId="13A7DD51"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29E23628" w14:textId="07A246C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66446C2E" w14:textId="7CDF6F96"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69F6FDC5"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07C6C114" w14:textId="77777777">
        <w:trPr>
          <w:trHeight w:val="20"/>
        </w:trPr>
        <w:tc>
          <w:tcPr>
            <w:tcW w:w="5000" w:type="pct"/>
            <w:gridSpan w:val="4"/>
            <w:shd w:val="clear" w:color="auto" w:fill="EAF1DD" w:themeFill="accent3" w:themeFillTint="33"/>
          </w:tcPr>
          <w:p w14:paraId="15C027E2"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711FA8E7" w14:textId="77777777">
        <w:trPr>
          <w:trHeight w:val="1209"/>
        </w:trPr>
        <w:tc>
          <w:tcPr>
            <w:tcW w:w="903" w:type="pct"/>
            <w:vMerge w:val="restart"/>
          </w:tcPr>
          <w:p w14:paraId="6EE9C3AD"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 Have the Directive’s goals to ensure a sufficient degree of harmonisation of the money laundering offences and related penalties been achieved?</w:t>
            </w:r>
          </w:p>
        </w:tc>
        <w:tc>
          <w:tcPr>
            <w:tcW w:w="1158" w:type="pct"/>
          </w:tcPr>
          <w:p w14:paraId="1904B285" w14:textId="77777777" w:rsidR="00C87C82" w:rsidRPr="00575CC5" w:rsidRDefault="00C87C82">
            <w:pPr>
              <w:contextualSpacing/>
              <w:rPr>
                <w:rStyle w:val="ui-provider"/>
                <w:rFonts w:ascii="Times New Roman" w:hAnsi="Times New Roman" w:cs="Times New Roman"/>
                <w:noProof/>
                <w:sz w:val="18"/>
                <w:szCs w:val="18"/>
                <w:lang w:val="en-IE"/>
              </w:rPr>
            </w:pPr>
            <w:r w:rsidRPr="00575CC5">
              <w:rPr>
                <w:rStyle w:val="ui-provider"/>
                <w:rFonts w:ascii="Times New Roman" w:hAnsi="Times New Roman" w:cs="Times New Roman"/>
                <w:noProof/>
                <w:sz w:val="18"/>
                <w:szCs w:val="18"/>
                <w:lang w:val="en-IE"/>
              </w:rPr>
              <w:t>EQ1.1: To what extent have the Member States aligned their definitions of money laundering offences with the Directive’s provisions?</w:t>
            </w:r>
          </w:p>
          <w:p w14:paraId="644156BB" w14:textId="77777777" w:rsidR="00C87C82" w:rsidRPr="00575CC5" w:rsidRDefault="00C87C82">
            <w:pPr>
              <w:contextualSpacing/>
              <w:rPr>
                <w:rFonts w:ascii="Times New Roman" w:eastAsia="MingLiU" w:hAnsi="Times New Roman" w:cs="Times New Roman"/>
                <w:noProof/>
                <w:sz w:val="18"/>
                <w:szCs w:val="18"/>
              </w:rPr>
            </w:pPr>
          </w:p>
        </w:tc>
        <w:tc>
          <w:tcPr>
            <w:tcW w:w="1546" w:type="pct"/>
          </w:tcPr>
          <w:p w14:paraId="39A92989" w14:textId="77777777" w:rsidR="00C87C82" w:rsidRPr="00575CC5" w:rsidRDefault="00C87C82" w:rsidP="00C87C82">
            <w:pPr>
              <w:pStyle w:val="ListParagraph"/>
              <w:numPr>
                <w:ilvl w:val="0"/>
                <w:numId w:val="32"/>
              </w:numPr>
              <w:spacing w:after="0"/>
              <w:jc w:val="left"/>
              <w:rPr>
                <w:rStyle w:val="ui-provider"/>
                <w:rFonts w:eastAsia="MingLiU"/>
                <w:noProof/>
                <w:sz w:val="18"/>
                <w:szCs w:val="18"/>
              </w:rPr>
            </w:pPr>
            <w:r w:rsidRPr="00575CC5">
              <w:rPr>
                <w:rStyle w:val="ui-provider"/>
                <w:noProof/>
                <w:sz w:val="18"/>
                <w:szCs w:val="18"/>
              </w:rPr>
              <w:t>Percentage of Member States that have incorporated the definitions of money laundering offences in their legal systems</w:t>
            </w:r>
          </w:p>
          <w:p w14:paraId="29AB524D" w14:textId="77777777" w:rsidR="00C87C82" w:rsidRPr="00575CC5" w:rsidRDefault="00C87C82" w:rsidP="00C87C82">
            <w:pPr>
              <w:pStyle w:val="ListParagraph"/>
              <w:numPr>
                <w:ilvl w:val="0"/>
                <w:numId w:val="32"/>
              </w:numPr>
              <w:spacing w:after="0"/>
              <w:jc w:val="left"/>
              <w:rPr>
                <w:rStyle w:val="ui-provider"/>
                <w:noProof/>
                <w:sz w:val="18"/>
                <w:szCs w:val="18"/>
              </w:rPr>
            </w:pPr>
            <w:r w:rsidRPr="00575CC5">
              <w:rPr>
                <w:rStyle w:val="ui-provider"/>
                <w:noProof/>
                <w:sz w:val="18"/>
                <w:szCs w:val="18"/>
              </w:rPr>
              <w:t>Existence of legal provisions addressing the specific aggravating circumstances outlined in the Directive</w:t>
            </w:r>
          </w:p>
        </w:tc>
        <w:tc>
          <w:tcPr>
            <w:tcW w:w="1393" w:type="pct"/>
            <w:vMerge w:val="restart"/>
          </w:tcPr>
          <w:p w14:paraId="2C810C2C" w14:textId="77777777" w:rsidR="00C87C82" w:rsidRPr="00575CC5" w:rsidRDefault="00C87C82" w:rsidP="00C87C82">
            <w:pPr>
              <w:pStyle w:val="ListParagraph"/>
              <w:numPr>
                <w:ilvl w:val="0"/>
                <w:numId w:val="31"/>
              </w:numPr>
              <w:spacing w:after="0"/>
              <w:jc w:val="left"/>
              <w:rPr>
                <w:rFonts w:eastAsia="MingLiU"/>
                <w:noProof/>
                <w:sz w:val="18"/>
                <w:szCs w:val="18"/>
              </w:rPr>
            </w:pPr>
            <w:r w:rsidRPr="00575CC5">
              <w:rPr>
                <w:rFonts w:eastAsia="MingLiU"/>
                <w:noProof/>
                <w:sz w:val="18"/>
                <w:szCs w:val="18"/>
              </w:rPr>
              <w:t xml:space="preserve">Desk research </w:t>
            </w:r>
          </w:p>
          <w:p w14:paraId="6DBCB04D" w14:textId="77777777" w:rsidR="00C87C82" w:rsidRPr="00575CC5" w:rsidRDefault="00C87C82" w:rsidP="00C87C82">
            <w:pPr>
              <w:pStyle w:val="ListParagraph"/>
              <w:numPr>
                <w:ilvl w:val="0"/>
                <w:numId w:val="31"/>
              </w:numPr>
              <w:spacing w:after="0"/>
              <w:jc w:val="left"/>
              <w:rPr>
                <w:rFonts w:eastAsia="MingLiU"/>
                <w:noProof/>
                <w:sz w:val="18"/>
                <w:szCs w:val="18"/>
              </w:rPr>
            </w:pPr>
            <w:r w:rsidRPr="00575CC5">
              <w:rPr>
                <w:rFonts w:eastAsia="MingLiU"/>
                <w:noProof/>
                <w:sz w:val="18"/>
                <w:szCs w:val="18"/>
              </w:rPr>
              <w:t>Surveys and interviews targeted at national authorities in EU Member States (Financial Intelligence Units, law enforcement authorities and judicial authorities)</w:t>
            </w:r>
          </w:p>
          <w:p w14:paraId="7AC45C46" w14:textId="77777777" w:rsidR="00C87C82" w:rsidRPr="00575CC5" w:rsidRDefault="00C87C82" w:rsidP="00C87C82">
            <w:pPr>
              <w:pStyle w:val="ListParagraph"/>
              <w:numPr>
                <w:ilvl w:val="0"/>
                <w:numId w:val="31"/>
              </w:numPr>
              <w:spacing w:after="0"/>
              <w:jc w:val="left"/>
              <w:rPr>
                <w:rFonts w:eastAsia="MingLiU"/>
                <w:noProof/>
                <w:sz w:val="18"/>
                <w:szCs w:val="18"/>
              </w:rPr>
            </w:pPr>
            <w:r w:rsidRPr="00575CC5">
              <w:rPr>
                <w:rFonts w:eastAsia="MingLiU"/>
                <w:noProof/>
                <w:sz w:val="18"/>
                <w:szCs w:val="18"/>
              </w:rPr>
              <w:t>Surveys and interviews targeted at international organisations (FATF, OECD, MONEYVAL, GRECO)</w:t>
            </w:r>
          </w:p>
          <w:p w14:paraId="5A14F59F" w14:textId="77777777" w:rsidR="00C87C82" w:rsidRPr="00575CC5" w:rsidRDefault="00C87C82">
            <w:pPr>
              <w:rPr>
                <w:rFonts w:ascii="Times New Roman" w:eastAsia="MingLiU" w:hAnsi="Times New Roman" w:cs="Times New Roman"/>
                <w:noProof/>
                <w:sz w:val="18"/>
                <w:szCs w:val="18"/>
              </w:rPr>
            </w:pPr>
          </w:p>
        </w:tc>
      </w:tr>
      <w:tr w:rsidR="00C87C82" w:rsidRPr="00575CC5" w14:paraId="66E5B827" w14:textId="77777777">
        <w:trPr>
          <w:trHeight w:val="555"/>
        </w:trPr>
        <w:tc>
          <w:tcPr>
            <w:tcW w:w="903" w:type="pct"/>
            <w:vMerge/>
          </w:tcPr>
          <w:p w14:paraId="669FA572" w14:textId="77777777" w:rsidR="00C87C82" w:rsidRPr="00575CC5" w:rsidRDefault="00C87C82">
            <w:pPr>
              <w:rPr>
                <w:rFonts w:ascii="Times New Roman" w:eastAsia="MingLiU" w:hAnsi="Times New Roman" w:cs="Times New Roman"/>
                <w:noProof/>
                <w:sz w:val="18"/>
                <w:szCs w:val="18"/>
              </w:rPr>
            </w:pPr>
          </w:p>
        </w:tc>
        <w:tc>
          <w:tcPr>
            <w:tcW w:w="1158" w:type="pct"/>
          </w:tcPr>
          <w:p w14:paraId="159AE640" w14:textId="77777777" w:rsidR="00C87C82" w:rsidRPr="00575CC5" w:rsidRDefault="00C87C82">
            <w:pPr>
              <w:contextualSpacing/>
              <w:rPr>
                <w:rStyle w:val="ui-provider"/>
                <w:rFonts w:ascii="Times New Roman" w:hAnsi="Times New Roman" w:cs="Times New Roman"/>
                <w:noProof/>
                <w:sz w:val="18"/>
                <w:szCs w:val="18"/>
                <w:lang w:val="en-IE"/>
              </w:rPr>
            </w:pPr>
            <w:r w:rsidRPr="00575CC5">
              <w:rPr>
                <w:rStyle w:val="ui-provider"/>
                <w:rFonts w:ascii="Times New Roman" w:hAnsi="Times New Roman" w:cs="Times New Roman"/>
                <w:noProof/>
                <w:sz w:val="18"/>
                <w:szCs w:val="18"/>
                <w:lang w:val="en-IE"/>
              </w:rPr>
              <w:t>EQ1.2: To what extent have the Member States aligned the penalties for money laundering offences with the Directive’s provisions?</w:t>
            </w:r>
          </w:p>
        </w:tc>
        <w:tc>
          <w:tcPr>
            <w:tcW w:w="1546" w:type="pct"/>
          </w:tcPr>
          <w:p w14:paraId="727FE4F0" w14:textId="77777777" w:rsidR="00C87C82" w:rsidRPr="00575CC5" w:rsidRDefault="00C87C82" w:rsidP="00C87C82">
            <w:pPr>
              <w:pStyle w:val="ListParagraph"/>
              <w:numPr>
                <w:ilvl w:val="0"/>
                <w:numId w:val="32"/>
              </w:numPr>
              <w:spacing w:after="0"/>
              <w:jc w:val="left"/>
              <w:rPr>
                <w:rStyle w:val="ui-provider"/>
                <w:noProof/>
                <w:sz w:val="18"/>
                <w:szCs w:val="18"/>
              </w:rPr>
            </w:pPr>
            <w:r w:rsidRPr="00575CC5">
              <w:rPr>
                <w:rStyle w:val="ui-provider"/>
                <w:noProof/>
                <w:sz w:val="18"/>
                <w:szCs w:val="18"/>
              </w:rPr>
              <w:t>Range of penalties before and after the implementation of the Directive</w:t>
            </w:r>
          </w:p>
          <w:p w14:paraId="2F7EB42A" w14:textId="77777777" w:rsidR="00C87C82" w:rsidRPr="00575CC5" w:rsidRDefault="00C87C82" w:rsidP="00C87C82">
            <w:pPr>
              <w:pStyle w:val="ListParagraph"/>
              <w:numPr>
                <w:ilvl w:val="0"/>
                <w:numId w:val="32"/>
              </w:numPr>
              <w:spacing w:after="0"/>
              <w:jc w:val="left"/>
              <w:rPr>
                <w:rStyle w:val="ui-provider"/>
                <w:noProof/>
                <w:sz w:val="18"/>
                <w:szCs w:val="18"/>
              </w:rPr>
            </w:pPr>
            <w:r w:rsidRPr="00575CC5">
              <w:rPr>
                <w:rStyle w:val="ui-provider"/>
                <w:noProof/>
                <w:sz w:val="18"/>
                <w:szCs w:val="18"/>
              </w:rPr>
              <w:t>Presence of disparity in penalties across Member States</w:t>
            </w:r>
          </w:p>
        </w:tc>
        <w:tc>
          <w:tcPr>
            <w:tcW w:w="1393" w:type="pct"/>
            <w:vMerge/>
          </w:tcPr>
          <w:p w14:paraId="2AD2752B" w14:textId="77777777" w:rsidR="00C87C82" w:rsidRPr="00575CC5" w:rsidRDefault="00C87C82" w:rsidP="00C87C82">
            <w:pPr>
              <w:pStyle w:val="ListParagraph"/>
              <w:numPr>
                <w:ilvl w:val="0"/>
                <w:numId w:val="31"/>
              </w:numPr>
              <w:spacing w:after="0"/>
              <w:jc w:val="left"/>
              <w:rPr>
                <w:rFonts w:eastAsia="MingLiU"/>
                <w:noProof/>
                <w:sz w:val="18"/>
                <w:szCs w:val="18"/>
              </w:rPr>
            </w:pPr>
          </w:p>
        </w:tc>
      </w:tr>
    </w:tbl>
    <w:p w14:paraId="15D69F97"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64BA75FC" w14:textId="77777777">
        <w:trPr>
          <w:trHeight w:val="20"/>
          <w:tblHeader/>
        </w:trPr>
        <w:tc>
          <w:tcPr>
            <w:tcW w:w="903" w:type="pct"/>
            <w:shd w:val="clear" w:color="auto" w:fill="F2F2F2" w:themeFill="background1" w:themeFillShade="F2"/>
          </w:tcPr>
          <w:p w14:paraId="65B51B27"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6FDF82F4" w14:textId="77820839"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6CAFB809"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2C34129A"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0C091151" w14:textId="77777777">
        <w:trPr>
          <w:trHeight w:val="20"/>
        </w:trPr>
        <w:tc>
          <w:tcPr>
            <w:tcW w:w="5000" w:type="pct"/>
            <w:gridSpan w:val="4"/>
            <w:shd w:val="clear" w:color="auto" w:fill="EAF1DD" w:themeFill="accent3" w:themeFillTint="33"/>
          </w:tcPr>
          <w:p w14:paraId="604D2ECB"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799E64AC" w14:textId="77777777">
        <w:trPr>
          <w:trHeight w:val="1302"/>
        </w:trPr>
        <w:tc>
          <w:tcPr>
            <w:tcW w:w="903" w:type="pct"/>
            <w:vMerge w:val="restart"/>
          </w:tcPr>
          <w:p w14:paraId="52EA15A9"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 Has the application of the provisions of the Directive contributed to facilitating the investigation and prosecution of money laundering in the Member States and at EU level? Have Member States made sufficient use of investigative tools available for serious and organised crime cases?</w:t>
            </w:r>
          </w:p>
        </w:tc>
        <w:tc>
          <w:tcPr>
            <w:tcW w:w="1158" w:type="pct"/>
          </w:tcPr>
          <w:p w14:paraId="794DC7F0"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EQ2.1: To what extent has the application of the provisions of the Directive facilitated the investigation of money laundering in Member States and at EU level?</w:t>
            </w:r>
          </w:p>
        </w:tc>
        <w:tc>
          <w:tcPr>
            <w:tcW w:w="1546" w:type="pct"/>
          </w:tcPr>
          <w:p w14:paraId="37FC305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money laundering investigations before and after the application of the provisions per Member State and at EU level</w:t>
            </w:r>
          </w:p>
          <w:p w14:paraId="60D7075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Qualitative assessment by stakeholders on the extent to which the application of the provisions of the Directive facilitated the investigation of money laundering in the Member States and on EU level </w:t>
            </w:r>
          </w:p>
        </w:tc>
        <w:tc>
          <w:tcPr>
            <w:tcW w:w="1393" w:type="pct"/>
            <w:vMerge w:val="restart"/>
          </w:tcPr>
          <w:p w14:paraId="3440917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and interviews targeted at national judicial authorities in EU Member States</w:t>
            </w:r>
          </w:p>
          <w:p w14:paraId="2C19FA7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and interviews targeted at national law enforcement authorities in EU Member States</w:t>
            </w:r>
          </w:p>
          <w:p w14:paraId="7BAA9ED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Desk research on public resources (country-specific evaluation reports, statistical data)</w:t>
            </w:r>
          </w:p>
          <w:p w14:paraId="5B9B8DDE"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and interviews targeted at academic and think-tanks</w:t>
            </w:r>
          </w:p>
        </w:tc>
      </w:tr>
      <w:tr w:rsidR="00C87C82" w:rsidRPr="00575CC5" w14:paraId="6ED5ED5F" w14:textId="77777777">
        <w:trPr>
          <w:trHeight w:val="1783"/>
        </w:trPr>
        <w:tc>
          <w:tcPr>
            <w:tcW w:w="903" w:type="pct"/>
            <w:vMerge/>
          </w:tcPr>
          <w:p w14:paraId="4C891152" w14:textId="77777777" w:rsidR="00C87C82" w:rsidRPr="00575CC5" w:rsidRDefault="00C87C82">
            <w:pPr>
              <w:rPr>
                <w:rFonts w:ascii="Times New Roman" w:eastAsia="MingLiU" w:hAnsi="Times New Roman" w:cs="Times New Roman"/>
                <w:noProof/>
                <w:sz w:val="18"/>
                <w:szCs w:val="18"/>
              </w:rPr>
            </w:pPr>
          </w:p>
        </w:tc>
        <w:tc>
          <w:tcPr>
            <w:tcW w:w="1158" w:type="pct"/>
          </w:tcPr>
          <w:p w14:paraId="416A53ED"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EQ2.2: To what extent has the application of the provisions of the Directive facilitated the prosecution of money laundering in Member States and at EU level?</w:t>
            </w:r>
          </w:p>
        </w:tc>
        <w:tc>
          <w:tcPr>
            <w:tcW w:w="1546" w:type="pct"/>
          </w:tcPr>
          <w:p w14:paraId="27227C7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money laundering prosecutions before and after application of the provisions per Member State and at EU level</w:t>
            </w:r>
          </w:p>
          <w:p w14:paraId="710DEB7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with regard to prosecutions before and after the application of the Directive</w:t>
            </w:r>
          </w:p>
        </w:tc>
        <w:tc>
          <w:tcPr>
            <w:tcW w:w="1393" w:type="pct"/>
            <w:vMerge/>
          </w:tcPr>
          <w:p w14:paraId="3E0F5FAB"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5C742AE1" w14:textId="77777777">
        <w:trPr>
          <w:trHeight w:val="818"/>
        </w:trPr>
        <w:tc>
          <w:tcPr>
            <w:tcW w:w="903" w:type="pct"/>
            <w:vMerge/>
          </w:tcPr>
          <w:p w14:paraId="200055F1" w14:textId="77777777" w:rsidR="00C87C82" w:rsidRPr="00575CC5" w:rsidRDefault="00C87C82">
            <w:pPr>
              <w:rPr>
                <w:rFonts w:ascii="Times New Roman" w:eastAsia="MingLiU" w:hAnsi="Times New Roman" w:cs="Times New Roman"/>
                <w:noProof/>
                <w:sz w:val="18"/>
                <w:szCs w:val="18"/>
              </w:rPr>
            </w:pPr>
          </w:p>
        </w:tc>
        <w:tc>
          <w:tcPr>
            <w:tcW w:w="1158" w:type="pct"/>
          </w:tcPr>
          <w:p w14:paraId="47EDBEEA"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EQ2.3: To what extent have Member States made use of investigative tools for serious and organised crime cases?</w:t>
            </w:r>
          </w:p>
        </w:tc>
        <w:tc>
          <w:tcPr>
            <w:tcW w:w="1546" w:type="pct"/>
          </w:tcPr>
          <w:p w14:paraId="06C1F1F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instances investigative tools were used per Member State and at EU level</w:t>
            </w:r>
          </w:p>
          <w:p w14:paraId="596CA49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Qualitative assessment by the stakeholders on the extent to which Member States have made use of investigative tools for serious and organised crime cases </w:t>
            </w:r>
          </w:p>
        </w:tc>
        <w:tc>
          <w:tcPr>
            <w:tcW w:w="1393" w:type="pct"/>
            <w:vMerge/>
          </w:tcPr>
          <w:p w14:paraId="37F2109D"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2F6335C2" w14:textId="77777777">
        <w:trPr>
          <w:trHeight w:val="818"/>
        </w:trPr>
        <w:tc>
          <w:tcPr>
            <w:tcW w:w="903" w:type="pct"/>
            <w:vMerge/>
          </w:tcPr>
          <w:p w14:paraId="6F9DDD64" w14:textId="77777777" w:rsidR="00C87C82" w:rsidRPr="00575CC5" w:rsidRDefault="00C87C82">
            <w:pPr>
              <w:rPr>
                <w:rFonts w:ascii="Times New Roman" w:eastAsia="MingLiU" w:hAnsi="Times New Roman" w:cs="Times New Roman"/>
                <w:noProof/>
                <w:sz w:val="18"/>
                <w:szCs w:val="18"/>
              </w:rPr>
            </w:pPr>
          </w:p>
        </w:tc>
        <w:tc>
          <w:tcPr>
            <w:tcW w:w="1158" w:type="pct"/>
          </w:tcPr>
          <w:p w14:paraId="16433580"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EQ2.4: What can be further done so that the Directive and its application further contribute to facilitating the investigation and prosecution of money laundering offences in the Member States and at EU level, including greater use of investigative tools for serios and organised crime?</w:t>
            </w:r>
          </w:p>
        </w:tc>
        <w:tc>
          <w:tcPr>
            <w:tcW w:w="1546" w:type="pct"/>
          </w:tcPr>
          <w:p w14:paraId="2B681FD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Qualitative input from stakeholders on the ways the Directive can better facilitate investigation and prosecution of money laundering offences </w:t>
            </w:r>
          </w:p>
        </w:tc>
        <w:tc>
          <w:tcPr>
            <w:tcW w:w="1393" w:type="pct"/>
            <w:vMerge/>
          </w:tcPr>
          <w:p w14:paraId="5499E7EC" w14:textId="77777777" w:rsidR="00C87C82" w:rsidRPr="00575CC5" w:rsidRDefault="00C87C82" w:rsidP="00C87C82">
            <w:pPr>
              <w:pStyle w:val="ListParagraph"/>
              <w:numPr>
                <w:ilvl w:val="0"/>
                <w:numId w:val="33"/>
              </w:numPr>
              <w:spacing w:after="0"/>
              <w:jc w:val="left"/>
              <w:rPr>
                <w:rFonts w:eastAsia="MingLiU"/>
                <w:noProof/>
                <w:sz w:val="18"/>
                <w:szCs w:val="18"/>
              </w:rPr>
            </w:pPr>
          </w:p>
        </w:tc>
      </w:tr>
    </w:tbl>
    <w:p w14:paraId="0C1211F8" w14:textId="77777777" w:rsidR="00C87C82" w:rsidRPr="00575CC5" w:rsidRDefault="00C87C82" w:rsidP="00C87C82">
      <w:pPr>
        <w:spacing w:after="0"/>
        <w:rPr>
          <w:rFonts w:ascii="Times New Roman" w:hAnsi="Times New Roman" w:cs="Times New Roman"/>
          <w:b/>
          <w:bCs/>
          <w:i/>
          <w:iCs/>
          <w:noProof/>
          <w:lang w:val="en-IE"/>
        </w:rPr>
      </w:pPr>
    </w:p>
    <w:p w14:paraId="14378B48"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3D898022" w14:textId="77777777">
        <w:trPr>
          <w:trHeight w:val="20"/>
          <w:tblHeader/>
        </w:trPr>
        <w:tc>
          <w:tcPr>
            <w:tcW w:w="903" w:type="pct"/>
            <w:shd w:val="clear" w:color="auto" w:fill="F2F2F2" w:themeFill="background1" w:themeFillShade="F2"/>
          </w:tcPr>
          <w:p w14:paraId="31E6FF1B"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05D58042" w14:textId="52825AEE"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6AA62875"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036B1176"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6E7C1929" w14:textId="77777777">
        <w:trPr>
          <w:trHeight w:val="20"/>
        </w:trPr>
        <w:tc>
          <w:tcPr>
            <w:tcW w:w="5000" w:type="pct"/>
            <w:gridSpan w:val="4"/>
            <w:shd w:val="clear" w:color="auto" w:fill="EAF1DD" w:themeFill="accent3" w:themeFillTint="33"/>
          </w:tcPr>
          <w:p w14:paraId="5F056EE4"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16BCC9D7" w14:textId="77777777">
        <w:trPr>
          <w:trHeight w:val="1438"/>
        </w:trPr>
        <w:tc>
          <w:tcPr>
            <w:tcW w:w="903" w:type="pct"/>
            <w:vMerge w:val="restart"/>
          </w:tcPr>
          <w:p w14:paraId="29DE2F29" w14:textId="41CD5500"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w:t>
            </w:r>
            <w:r w:rsidR="0070589D">
              <w:rPr>
                <w:rFonts w:ascii="Times New Roman" w:eastAsia="MingLiU" w:hAnsi="Times New Roman" w:cs="Times New Roman"/>
                <w:noProof/>
                <w:sz w:val="18"/>
                <w:szCs w:val="18"/>
                <w:lang w:val="en-IE"/>
              </w:rPr>
              <w:t>3</w:t>
            </w:r>
            <w:r w:rsidRPr="00575CC5">
              <w:rPr>
                <w:rFonts w:ascii="Times New Roman" w:eastAsia="MingLiU" w:hAnsi="Times New Roman" w:cs="Times New Roman"/>
                <w:noProof/>
                <w:sz w:val="18"/>
                <w:szCs w:val="18"/>
                <w:lang w:val="en-IE"/>
              </w:rPr>
              <w:t xml:space="preserve">: Have provisions allowing Member States to convict for money laundering offences without </w:t>
            </w:r>
            <w:r w:rsidRPr="00575CC5">
              <w:rPr>
                <w:rFonts w:ascii="Times New Roman" w:eastAsia="Verdana" w:hAnsi="Times New Roman" w:cs="Times New Roman"/>
                <w:noProof/>
                <w:sz w:val="18"/>
                <w:szCs w:val="18"/>
                <w:lang w:val="en-IE"/>
              </w:rPr>
              <w:t xml:space="preserve">prior conviction, prosecution or extensive factual establishment </w:t>
            </w:r>
            <w:r w:rsidRPr="00575CC5">
              <w:rPr>
                <w:rFonts w:ascii="Times New Roman" w:eastAsia="MingLiU" w:hAnsi="Times New Roman" w:cs="Times New Roman"/>
                <w:noProof/>
                <w:sz w:val="18"/>
                <w:szCs w:val="18"/>
                <w:lang w:val="en-IE"/>
              </w:rPr>
              <w:t>of the predicate offence been effectively applied in practice, and have they facilitated the prosecution and conviction for money laundering?</w:t>
            </w:r>
          </w:p>
        </w:tc>
        <w:tc>
          <w:tcPr>
            <w:tcW w:w="1158" w:type="pct"/>
          </w:tcPr>
          <w:p w14:paraId="4BC3F5B6"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EQ4.1: To what extent have Member States applied in practice the prosecution for money laundering offences without </w:t>
            </w:r>
            <w:r w:rsidRPr="00575CC5">
              <w:rPr>
                <w:rFonts w:ascii="Times New Roman" w:eastAsia="Verdana" w:hAnsi="Times New Roman" w:cs="Times New Roman"/>
                <w:noProof/>
                <w:sz w:val="18"/>
                <w:szCs w:val="18"/>
                <w:lang w:val="en-IE"/>
              </w:rPr>
              <w:t>prior conviction, prosecution or extensive factual establishment</w:t>
            </w:r>
            <w:r w:rsidRPr="00575CC5">
              <w:rPr>
                <w:rFonts w:ascii="Times New Roman" w:eastAsia="MingLiU" w:hAnsi="Times New Roman" w:cs="Times New Roman"/>
                <w:noProof/>
                <w:sz w:val="18"/>
                <w:szCs w:val="18"/>
                <w:lang w:val="en-IE"/>
              </w:rPr>
              <w:t xml:space="preserve"> of the predicate offence?</w:t>
            </w:r>
          </w:p>
        </w:tc>
        <w:tc>
          <w:tcPr>
            <w:tcW w:w="1546" w:type="pct"/>
          </w:tcPr>
          <w:p w14:paraId="37B61B56" w14:textId="77777777" w:rsidR="00C87C82" w:rsidRPr="00575CC5" w:rsidRDefault="00C87C82" w:rsidP="008A47B8">
            <w:pPr>
              <w:pStyle w:val="ListParagraph"/>
              <w:numPr>
                <w:ilvl w:val="0"/>
                <w:numId w:val="39"/>
              </w:numPr>
              <w:spacing w:after="0"/>
              <w:ind w:left="357" w:hanging="357"/>
              <w:jc w:val="left"/>
              <w:rPr>
                <w:noProof/>
                <w:sz w:val="18"/>
                <w:szCs w:val="18"/>
              </w:rPr>
            </w:pPr>
            <w:r w:rsidRPr="00575CC5">
              <w:rPr>
                <w:noProof/>
                <w:sz w:val="18"/>
                <w:szCs w:val="18"/>
              </w:rPr>
              <w:t>Number of prosecutions for money laundering without prior conviction, prosecution or extensive factual establishment of predicate offence before and after the application of the Directive’s provisions</w:t>
            </w:r>
          </w:p>
          <w:p w14:paraId="60439260" w14:textId="77777777" w:rsidR="00C87C82" w:rsidRPr="00575CC5" w:rsidRDefault="00C87C82" w:rsidP="008A47B8">
            <w:pPr>
              <w:pStyle w:val="ListParagraph"/>
              <w:numPr>
                <w:ilvl w:val="0"/>
                <w:numId w:val="39"/>
              </w:numPr>
              <w:spacing w:after="0"/>
              <w:ind w:left="357" w:hanging="357"/>
              <w:jc w:val="left"/>
              <w:rPr>
                <w:noProof/>
                <w:sz w:val="18"/>
                <w:szCs w:val="18"/>
              </w:rPr>
            </w:pPr>
            <w:r w:rsidRPr="00575CC5">
              <w:rPr>
                <w:noProof/>
                <w:sz w:val="18"/>
                <w:szCs w:val="18"/>
              </w:rPr>
              <w:t>Qualitative assessment by the stakeholders on extent to which Member States have applied in practice the prosecution for money laundering without prior conviction, prosecution or extensive factual establishment of predicate offence before and after the application of the Directive’s provisions</w:t>
            </w:r>
          </w:p>
        </w:tc>
        <w:tc>
          <w:tcPr>
            <w:tcW w:w="1393" w:type="pct"/>
            <w:vMerge w:val="restart"/>
          </w:tcPr>
          <w:p w14:paraId="1B53487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650EC92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EU bodies (Eurojust, Europol) and international bodies (Interpol)</w:t>
            </w:r>
          </w:p>
          <w:p w14:paraId="0348B10C" w14:textId="77777777" w:rsidR="00C87C82" w:rsidRPr="00575CC5" w:rsidRDefault="00C87C82">
            <w:pPr>
              <w:contextualSpacing/>
              <w:rPr>
                <w:rFonts w:ascii="Times New Roman" w:eastAsia="MingLiU" w:hAnsi="Times New Roman" w:cs="Times New Roman"/>
                <w:noProof/>
                <w:sz w:val="18"/>
                <w:szCs w:val="18"/>
              </w:rPr>
            </w:pPr>
          </w:p>
        </w:tc>
      </w:tr>
      <w:tr w:rsidR="00C87C82" w:rsidRPr="00575CC5" w14:paraId="75832952" w14:textId="77777777">
        <w:trPr>
          <w:trHeight w:val="1438"/>
        </w:trPr>
        <w:tc>
          <w:tcPr>
            <w:tcW w:w="903" w:type="pct"/>
            <w:vMerge/>
          </w:tcPr>
          <w:p w14:paraId="63980496" w14:textId="77777777" w:rsidR="00C87C82" w:rsidRPr="00575CC5" w:rsidRDefault="00C87C82">
            <w:pPr>
              <w:rPr>
                <w:rFonts w:ascii="Times New Roman" w:eastAsia="MingLiU" w:hAnsi="Times New Roman" w:cs="Times New Roman"/>
                <w:noProof/>
                <w:sz w:val="18"/>
                <w:szCs w:val="18"/>
              </w:rPr>
            </w:pPr>
          </w:p>
        </w:tc>
        <w:tc>
          <w:tcPr>
            <w:tcW w:w="1158" w:type="pct"/>
          </w:tcPr>
          <w:p w14:paraId="59F4EA46"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EQ4.2: To what extent has the conviction for money laundering offences without prior conviction, prosecution or extensive factual establishment of the predicate offences facilitated prosecutions and convictions for money laundering in the Member States?</w:t>
            </w:r>
          </w:p>
        </w:tc>
        <w:tc>
          <w:tcPr>
            <w:tcW w:w="1546" w:type="pct"/>
          </w:tcPr>
          <w:p w14:paraId="23CC5BF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convictions for money laundering without prior conviction, prosecution or extensive factual establishment of the predicate offence before and after the application of the Directive’s provisions</w:t>
            </w:r>
          </w:p>
          <w:p w14:paraId="71F0F914"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extent to which the convictions for money laundering without prior conviction, prosecution or extensive factual establishment of the predicate offence has facilitated prosecution and convictions for money laundering before and after the application of the Directive’s provisions</w:t>
            </w:r>
          </w:p>
        </w:tc>
        <w:tc>
          <w:tcPr>
            <w:tcW w:w="1393" w:type="pct"/>
            <w:vMerge/>
          </w:tcPr>
          <w:p w14:paraId="4490791D"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2A9B64A3" w14:textId="77777777">
        <w:trPr>
          <w:trHeight w:val="816"/>
        </w:trPr>
        <w:tc>
          <w:tcPr>
            <w:tcW w:w="903" w:type="pct"/>
            <w:vMerge/>
          </w:tcPr>
          <w:p w14:paraId="43D51C2F" w14:textId="77777777" w:rsidR="00C87C82" w:rsidRPr="00575CC5" w:rsidRDefault="00C87C82">
            <w:pPr>
              <w:rPr>
                <w:rFonts w:ascii="Times New Roman" w:eastAsia="MingLiU" w:hAnsi="Times New Roman" w:cs="Times New Roman"/>
                <w:noProof/>
                <w:sz w:val="18"/>
                <w:szCs w:val="18"/>
              </w:rPr>
            </w:pPr>
          </w:p>
        </w:tc>
        <w:tc>
          <w:tcPr>
            <w:tcW w:w="1158" w:type="pct"/>
          </w:tcPr>
          <w:p w14:paraId="61A71868"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Verdana" w:hAnsi="Times New Roman" w:cs="Times New Roman"/>
                <w:noProof/>
                <w:sz w:val="18"/>
                <w:szCs w:val="18"/>
                <w:lang w:val="en-IE"/>
              </w:rPr>
              <w:t>EQ4.3: To what extent have provisions allowing Member States to convict for money laundering offences without prior conviction, prosecution or extensive factual establishment of the predicate offence contributed to the effectiveness of the overall AML legal framework?</w:t>
            </w:r>
          </w:p>
        </w:tc>
        <w:tc>
          <w:tcPr>
            <w:tcW w:w="1546" w:type="pct"/>
          </w:tcPr>
          <w:p w14:paraId="626025BF"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Number of money laundering convictions before and after the entry into force and transposition of the Directive, in cases where a Member State has allowed convictions </w:t>
            </w:r>
            <w:r w:rsidRPr="00575CC5">
              <w:rPr>
                <w:rFonts w:eastAsia="Verdana"/>
                <w:noProof/>
                <w:sz w:val="18"/>
                <w:szCs w:val="18"/>
              </w:rPr>
              <w:t>without prior conviction, prosecution or extensive factual establishment of the predicate offence</w:t>
            </w:r>
          </w:p>
          <w:p w14:paraId="1D94F3A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Verdana"/>
                <w:noProof/>
                <w:sz w:val="18"/>
                <w:szCs w:val="18"/>
              </w:rPr>
              <w:t>Qualitative assessment by the stakeholders on the extent to which the provisions allowing Member States to convict for money laundering offences without prior conviction, prosecution or extensive factual establishment of the predicate offence contributed to the effectiveness of the overall AML legal framework</w:t>
            </w:r>
          </w:p>
        </w:tc>
        <w:tc>
          <w:tcPr>
            <w:tcW w:w="1393" w:type="pct"/>
            <w:vMerge/>
          </w:tcPr>
          <w:p w14:paraId="7654B472" w14:textId="77777777" w:rsidR="00C87C82" w:rsidRPr="00575CC5" w:rsidRDefault="00C87C82" w:rsidP="00C87C82">
            <w:pPr>
              <w:pStyle w:val="ListParagraph"/>
              <w:numPr>
                <w:ilvl w:val="0"/>
                <w:numId w:val="33"/>
              </w:numPr>
              <w:spacing w:after="0"/>
              <w:jc w:val="left"/>
              <w:rPr>
                <w:rFonts w:eastAsia="MingLiU"/>
                <w:noProof/>
                <w:sz w:val="18"/>
                <w:szCs w:val="18"/>
              </w:rPr>
            </w:pPr>
          </w:p>
        </w:tc>
      </w:tr>
    </w:tbl>
    <w:p w14:paraId="2670985C"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689C6055" w14:textId="77777777">
        <w:trPr>
          <w:trHeight w:val="20"/>
          <w:tblHeader/>
        </w:trPr>
        <w:tc>
          <w:tcPr>
            <w:tcW w:w="903" w:type="pct"/>
            <w:shd w:val="clear" w:color="auto" w:fill="F2F2F2" w:themeFill="background1" w:themeFillShade="F2"/>
          </w:tcPr>
          <w:p w14:paraId="4891BE6A"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1A42BCCE" w14:textId="6DE74FC6"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0D51EB94"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1AC73DD9"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77D1E652" w14:textId="77777777">
        <w:trPr>
          <w:trHeight w:val="20"/>
        </w:trPr>
        <w:tc>
          <w:tcPr>
            <w:tcW w:w="5000" w:type="pct"/>
            <w:gridSpan w:val="4"/>
            <w:shd w:val="clear" w:color="auto" w:fill="EAF1DD" w:themeFill="accent3" w:themeFillTint="33"/>
          </w:tcPr>
          <w:p w14:paraId="5228870D"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61B2C8E8" w14:textId="77777777">
        <w:trPr>
          <w:trHeight w:val="1302"/>
        </w:trPr>
        <w:tc>
          <w:tcPr>
            <w:tcW w:w="903" w:type="pct"/>
            <w:vMerge w:val="restart"/>
          </w:tcPr>
          <w:p w14:paraId="4A7DC782" w14:textId="059BE98C"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w:t>
            </w:r>
            <w:r w:rsidR="00FF4003">
              <w:rPr>
                <w:rFonts w:ascii="Times New Roman" w:eastAsia="MingLiU" w:hAnsi="Times New Roman" w:cs="Times New Roman"/>
                <w:noProof/>
                <w:sz w:val="18"/>
                <w:szCs w:val="18"/>
                <w:lang w:val="en-IE"/>
              </w:rPr>
              <w:t>4</w:t>
            </w:r>
            <w:r w:rsidRPr="00575CC5">
              <w:rPr>
                <w:rFonts w:ascii="Times New Roman" w:eastAsia="MingLiU" w:hAnsi="Times New Roman" w:cs="Times New Roman"/>
                <w:noProof/>
                <w:sz w:val="18"/>
                <w:szCs w:val="18"/>
                <w:lang w:val="en-IE"/>
              </w:rPr>
              <w:t>: Have the provisions of the Directive facilitated cross border as well as international cooperation? To what extent do competent authorities of the Member States cooperate with each other in criminal proceedings regarding money laundering?</w:t>
            </w:r>
          </w:p>
        </w:tc>
        <w:tc>
          <w:tcPr>
            <w:tcW w:w="1158" w:type="pct"/>
          </w:tcPr>
          <w:p w14:paraId="565B9979"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EQ5.1: To what extent have the Directive’s provisions facilitated cross border cooperation among Member States in criminal proceedings regarding money laundering?</w:t>
            </w:r>
          </w:p>
        </w:tc>
        <w:tc>
          <w:tcPr>
            <w:tcW w:w="1546" w:type="pct"/>
          </w:tcPr>
          <w:p w14:paraId="131B893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cross border and international money laundering investigations and prosecutions before and after the entry into force and transposition of the Directive</w:t>
            </w:r>
          </w:p>
          <w:p w14:paraId="226C60D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stakeholders on the extent to which the Directive’s provisions facilitated cross border cooperation among Member States in criminal proceedings regarding money laundering</w:t>
            </w:r>
          </w:p>
        </w:tc>
        <w:tc>
          <w:tcPr>
            <w:tcW w:w="1393" w:type="pct"/>
            <w:vMerge w:val="restart"/>
          </w:tcPr>
          <w:p w14:paraId="32CC121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59DECB1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5322A0F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72866C5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29F61C9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EU bodies (Eurojust, Europol) and international bodies (Interpol)</w:t>
            </w:r>
          </w:p>
        </w:tc>
      </w:tr>
      <w:tr w:rsidR="00C87C82" w:rsidRPr="00575CC5" w14:paraId="005B2671" w14:textId="77777777">
        <w:trPr>
          <w:trHeight w:val="1620"/>
        </w:trPr>
        <w:tc>
          <w:tcPr>
            <w:tcW w:w="903" w:type="pct"/>
            <w:vMerge/>
          </w:tcPr>
          <w:p w14:paraId="22D24B24" w14:textId="77777777" w:rsidR="00C87C82" w:rsidRPr="00575CC5" w:rsidRDefault="00C87C82">
            <w:pPr>
              <w:rPr>
                <w:rFonts w:ascii="Times New Roman" w:eastAsia="MingLiU" w:hAnsi="Times New Roman" w:cs="Times New Roman"/>
                <w:noProof/>
                <w:sz w:val="18"/>
                <w:szCs w:val="18"/>
              </w:rPr>
            </w:pPr>
          </w:p>
        </w:tc>
        <w:tc>
          <w:tcPr>
            <w:tcW w:w="1158" w:type="pct"/>
          </w:tcPr>
          <w:p w14:paraId="7E26D8AC" w14:textId="77777777" w:rsidR="00C87C82"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EQ5.2: To what extent have the Directive’s provisions facilitated international cooperation in criminal proceedings regarding money laundering?</w:t>
            </w:r>
          </w:p>
          <w:p w14:paraId="18B5F900" w14:textId="77777777" w:rsidR="002E6E8E" w:rsidRDefault="002E6E8E" w:rsidP="00BE107E">
            <w:pPr>
              <w:rPr>
                <w:rFonts w:ascii="Times New Roman" w:eastAsia="MingLiU" w:hAnsi="Times New Roman" w:cs="Times New Roman"/>
                <w:noProof/>
                <w:sz w:val="18"/>
                <w:szCs w:val="18"/>
                <w:lang w:val="en-IE"/>
              </w:rPr>
            </w:pPr>
          </w:p>
          <w:p w14:paraId="78997C44" w14:textId="7906357E" w:rsidR="00C87C82" w:rsidRPr="00575CC5" w:rsidRDefault="00C87C82" w:rsidP="009A39FA">
            <w:pPr>
              <w:jc w:val="center"/>
              <w:rPr>
                <w:rFonts w:ascii="Times New Roman" w:eastAsia="MingLiU" w:hAnsi="Times New Roman" w:cs="Times New Roman"/>
                <w:noProof/>
                <w:sz w:val="18"/>
                <w:szCs w:val="18"/>
                <w:lang w:val="en-IE"/>
              </w:rPr>
            </w:pPr>
          </w:p>
        </w:tc>
        <w:tc>
          <w:tcPr>
            <w:tcW w:w="1546" w:type="pct"/>
          </w:tcPr>
          <w:p w14:paraId="6796CFCA" w14:textId="4EB2E642"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 Directive’s provisions facilitated international cooperation in criminal proceedings regarding money laundering</w:t>
            </w:r>
          </w:p>
        </w:tc>
        <w:tc>
          <w:tcPr>
            <w:tcW w:w="1393" w:type="pct"/>
            <w:vMerge/>
          </w:tcPr>
          <w:p w14:paraId="1FAE64BB"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61788204" w14:textId="77777777">
        <w:trPr>
          <w:trHeight w:val="634"/>
        </w:trPr>
        <w:tc>
          <w:tcPr>
            <w:tcW w:w="903" w:type="pct"/>
            <w:vMerge/>
          </w:tcPr>
          <w:p w14:paraId="43DE5B9F" w14:textId="77777777" w:rsidR="00C87C82" w:rsidRPr="00575CC5" w:rsidRDefault="00C87C82">
            <w:pPr>
              <w:rPr>
                <w:rFonts w:ascii="Times New Roman" w:eastAsia="MingLiU" w:hAnsi="Times New Roman" w:cs="Times New Roman"/>
                <w:noProof/>
                <w:sz w:val="18"/>
                <w:szCs w:val="18"/>
              </w:rPr>
            </w:pPr>
          </w:p>
        </w:tc>
        <w:tc>
          <w:tcPr>
            <w:tcW w:w="1158" w:type="pct"/>
          </w:tcPr>
          <w:p w14:paraId="446DC0CC"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EQ5.3: To what extent do Member States cooperate with each other in criminal proceedings regarding money laundering in accordance with national legislation and the existing Union legal framework?</w:t>
            </w:r>
          </w:p>
        </w:tc>
        <w:tc>
          <w:tcPr>
            <w:tcW w:w="1546" w:type="pct"/>
          </w:tcPr>
          <w:p w14:paraId="418A38C3"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cross border and international forms of cooperation in criminal proceedings regarding money laundering before and after the entry into force and transposition of the Directive</w:t>
            </w:r>
          </w:p>
          <w:p w14:paraId="6EB064D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stakeholders on the extent to which Member States cooperate with each other in criminal proceedings regarding money laundering in accordance with national legislation and the existing Union legal framework following the entry into force and transposition of the Directive</w:t>
            </w:r>
          </w:p>
        </w:tc>
        <w:tc>
          <w:tcPr>
            <w:tcW w:w="1393" w:type="pct"/>
            <w:vMerge/>
          </w:tcPr>
          <w:p w14:paraId="001930F9"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34169890" w14:textId="77777777">
        <w:tc>
          <w:tcPr>
            <w:tcW w:w="903" w:type="pct"/>
            <w:vMerge/>
          </w:tcPr>
          <w:p w14:paraId="6720D12F" w14:textId="77777777" w:rsidR="00C87C82" w:rsidRPr="00575CC5" w:rsidRDefault="00C87C82">
            <w:pPr>
              <w:rPr>
                <w:rFonts w:ascii="Times New Roman" w:eastAsia="MingLiU" w:hAnsi="Times New Roman" w:cs="Times New Roman"/>
                <w:noProof/>
                <w:sz w:val="18"/>
                <w:szCs w:val="18"/>
              </w:rPr>
            </w:pPr>
          </w:p>
        </w:tc>
        <w:tc>
          <w:tcPr>
            <w:tcW w:w="1158" w:type="pct"/>
          </w:tcPr>
          <w:p w14:paraId="7105D79B"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EQ5.5: To what extent have the Directive’s provisions facilitated the effective and timely information exchange in criminal proceedings regarding money laundering?</w:t>
            </w:r>
          </w:p>
        </w:tc>
        <w:tc>
          <w:tcPr>
            <w:tcW w:w="1546" w:type="pct"/>
          </w:tcPr>
          <w:p w14:paraId="082D45D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information exchange requests before and after the entry into force and transposition of the Directive</w:t>
            </w:r>
          </w:p>
          <w:p w14:paraId="4BDD8F7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 Directive’s provisions facilitated the effective and timely information exchange in criminal proceedings regarding money laundering</w:t>
            </w:r>
          </w:p>
        </w:tc>
        <w:tc>
          <w:tcPr>
            <w:tcW w:w="1393" w:type="pct"/>
            <w:vMerge/>
          </w:tcPr>
          <w:p w14:paraId="0DD4B453"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1C86D1EA" w14:textId="77777777">
        <w:trPr>
          <w:trHeight w:val="300"/>
        </w:trPr>
        <w:tc>
          <w:tcPr>
            <w:tcW w:w="903" w:type="pct"/>
            <w:vMerge/>
          </w:tcPr>
          <w:p w14:paraId="61E79FEE" w14:textId="77777777" w:rsidR="00C87C82" w:rsidRPr="00575CC5" w:rsidRDefault="00C87C82">
            <w:pPr>
              <w:rPr>
                <w:rFonts w:ascii="Times New Roman" w:hAnsi="Times New Roman" w:cs="Times New Roman"/>
                <w:noProof/>
              </w:rPr>
            </w:pPr>
          </w:p>
        </w:tc>
        <w:tc>
          <w:tcPr>
            <w:tcW w:w="1158" w:type="pct"/>
          </w:tcPr>
          <w:p w14:paraId="0DEF6294"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EQ5.4: In what ways could the effectiveness of the Directive be improved to further enhance the effective and timely cross border and international exchange of information and cooperation?</w:t>
            </w:r>
          </w:p>
        </w:tc>
        <w:tc>
          <w:tcPr>
            <w:tcW w:w="1546" w:type="pct"/>
          </w:tcPr>
          <w:p w14:paraId="33A57792"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Qualitative assessment from stakeholders on the way the Directive can be further improved to further enhance the effective and timely cross border and international exchange of information and cooperation</w:t>
            </w:r>
          </w:p>
        </w:tc>
        <w:tc>
          <w:tcPr>
            <w:tcW w:w="1393" w:type="pct"/>
            <w:vMerge/>
          </w:tcPr>
          <w:p w14:paraId="6DE8F188" w14:textId="77777777" w:rsidR="00C87C82" w:rsidRPr="00575CC5" w:rsidRDefault="00C87C82">
            <w:pPr>
              <w:rPr>
                <w:rFonts w:ascii="Times New Roman" w:hAnsi="Times New Roman" w:cs="Times New Roman"/>
                <w:noProof/>
              </w:rPr>
            </w:pPr>
          </w:p>
        </w:tc>
      </w:tr>
    </w:tbl>
    <w:p w14:paraId="7B2FB9DF"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2EBEA49F" w14:textId="77777777">
        <w:trPr>
          <w:trHeight w:val="20"/>
          <w:tblHeader/>
        </w:trPr>
        <w:tc>
          <w:tcPr>
            <w:tcW w:w="903" w:type="pct"/>
            <w:shd w:val="clear" w:color="auto" w:fill="F2F2F2" w:themeFill="background1" w:themeFillShade="F2"/>
          </w:tcPr>
          <w:p w14:paraId="70FAA53B"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5AA1C723" w14:textId="5DEC4DAC"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0B61698D"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331B05EA"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34E80526" w14:textId="77777777">
        <w:trPr>
          <w:trHeight w:val="20"/>
        </w:trPr>
        <w:tc>
          <w:tcPr>
            <w:tcW w:w="5000" w:type="pct"/>
            <w:gridSpan w:val="4"/>
            <w:shd w:val="clear" w:color="auto" w:fill="EAF1DD" w:themeFill="accent3" w:themeFillTint="33"/>
          </w:tcPr>
          <w:p w14:paraId="62BE2D98"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44D789F0" w14:textId="77777777">
        <w:trPr>
          <w:trHeight w:val="867"/>
        </w:trPr>
        <w:tc>
          <w:tcPr>
            <w:tcW w:w="903" w:type="pct"/>
            <w:vMerge w:val="restart"/>
          </w:tcPr>
          <w:p w14:paraId="441A4FFB" w14:textId="57DDF2BF"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 Are there remaining obstacles regarding the criminalisation of “self-laundering” in certain cases? What has been the effectiveness and impact of the criminalisation of self-laundering in the EU Member States, and how has this contributed to the broader efforts in combating money laundering and related financial crimes?</w:t>
            </w:r>
          </w:p>
        </w:tc>
        <w:tc>
          <w:tcPr>
            <w:tcW w:w="1158" w:type="pct"/>
          </w:tcPr>
          <w:p w14:paraId="407B2D78"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EQ6.1:  What have been the key challenges or successes encountered in the implementation of self-laundering?</w:t>
            </w:r>
          </w:p>
        </w:tc>
        <w:tc>
          <w:tcPr>
            <w:tcW w:w="1546" w:type="pct"/>
          </w:tcPr>
          <w:p w14:paraId="508C33E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presence of any challenges in relation to the implementation of self-laundering</w:t>
            </w:r>
          </w:p>
        </w:tc>
        <w:tc>
          <w:tcPr>
            <w:tcW w:w="1393" w:type="pct"/>
            <w:vMerge w:val="restart"/>
          </w:tcPr>
          <w:p w14:paraId="2DB0008F"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5412270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5770BA9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1AB24A4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and interviews targeted at EU bodies (e.g., Eurojust, Europol)</w:t>
            </w:r>
          </w:p>
        </w:tc>
      </w:tr>
      <w:tr w:rsidR="00C87C82" w:rsidRPr="00575CC5" w14:paraId="0EC214D1" w14:textId="77777777">
        <w:trPr>
          <w:trHeight w:val="1009"/>
        </w:trPr>
        <w:tc>
          <w:tcPr>
            <w:tcW w:w="903" w:type="pct"/>
            <w:vMerge/>
          </w:tcPr>
          <w:p w14:paraId="1BD38C5D" w14:textId="77777777" w:rsidR="00C87C82" w:rsidRPr="00575CC5" w:rsidRDefault="00C87C82">
            <w:pPr>
              <w:rPr>
                <w:rFonts w:ascii="Times New Roman" w:eastAsia="MingLiU" w:hAnsi="Times New Roman" w:cs="Times New Roman"/>
                <w:noProof/>
                <w:sz w:val="18"/>
                <w:szCs w:val="18"/>
              </w:rPr>
            </w:pPr>
          </w:p>
        </w:tc>
        <w:tc>
          <w:tcPr>
            <w:tcW w:w="1158" w:type="pct"/>
          </w:tcPr>
          <w:p w14:paraId="1DBC8CE6"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EQ6.2:  To what extent has the criminalisation of self-laundering contributed to deterring individuals and entities from engaging in money laundering?</w:t>
            </w:r>
          </w:p>
        </w:tc>
        <w:tc>
          <w:tcPr>
            <w:tcW w:w="1546" w:type="pct"/>
          </w:tcPr>
          <w:p w14:paraId="65762779"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extent to which the criminalisation of self-laundering has contributed to deterring individuals and entities from engaging in money laundering after the implementation of the Directive</w:t>
            </w:r>
          </w:p>
        </w:tc>
        <w:tc>
          <w:tcPr>
            <w:tcW w:w="1393" w:type="pct"/>
            <w:vMerge/>
          </w:tcPr>
          <w:p w14:paraId="00D53796"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29E799F5" w14:textId="77777777">
        <w:trPr>
          <w:trHeight w:val="1693"/>
        </w:trPr>
        <w:tc>
          <w:tcPr>
            <w:tcW w:w="903" w:type="pct"/>
            <w:vMerge/>
          </w:tcPr>
          <w:p w14:paraId="46A5468E" w14:textId="77777777" w:rsidR="00C87C82" w:rsidRPr="00575CC5" w:rsidRDefault="00C87C82">
            <w:pPr>
              <w:rPr>
                <w:rFonts w:ascii="Times New Roman" w:eastAsia="MingLiU" w:hAnsi="Times New Roman" w:cs="Times New Roman"/>
                <w:noProof/>
                <w:sz w:val="18"/>
                <w:szCs w:val="18"/>
              </w:rPr>
            </w:pPr>
          </w:p>
        </w:tc>
        <w:tc>
          <w:tcPr>
            <w:tcW w:w="1158" w:type="pct"/>
          </w:tcPr>
          <w:p w14:paraId="4D909681"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EQ6.3:  To what extent has the criminalisation of self-laundering led to enhanced collaboration and exchange of information between the Member States? </w:t>
            </w:r>
          </w:p>
        </w:tc>
        <w:tc>
          <w:tcPr>
            <w:tcW w:w="1546" w:type="pct"/>
          </w:tcPr>
          <w:p w14:paraId="3EEABE03" w14:textId="77777777" w:rsidR="00C87C82" w:rsidRPr="00575CC5" w:rsidRDefault="00C87C82" w:rsidP="00C87C82">
            <w:pPr>
              <w:pStyle w:val="ListParagraph"/>
              <w:numPr>
                <w:ilvl w:val="0"/>
                <w:numId w:val="37"/>
              </w:numPr>
              <w:spacing w:after="0"/>
              <w:jc w:val="left"/>
              <w:rPr>
                <w:rFonts w:eastAsia="MingLiU"/>
                <w:noProof/>
                <w:sz w:val="18"/>
                <w:szCs w:val="18"/>
              </w:rPr>
            </w:pPr>
            <w:r w:rsidRPr="00575CC5">
              <w:rPr>
                <w:rFonts w:eastAsia="MingLiU"/>
                <w:noProof/>
                <w:sz w:val="18"/>
                <w:szCs w:val="18"/>
              </w:rPr>
              <w:t>Number of exchanges of information and collaboration requests in relation to self-laundering before and after the entry into force and the transposition of the Directive</w:t>
            </w:r>
          </w:p>
          <w:p w14:paraId="4E884930" w14:textId="77777777" w:rsidR="00C87C82" w:rsidRPr="00575CC5" w:rsidRDefault="00C87C82" w:rsidP="00C87C82">
            <w:pPr>
              <w:pStyle w:val="ListParagraph"/>
              <w:numPr>
                <w:ilvl w:val="0"/>
                <w:numId w:val="37"/>
              </w:numPr>
              <w:spacing w:after="0"/>
              <w:jc w:val="left"/>
              <w:rPr>
                <w:rFonts w:eastAsia="MingLiU"/>
                <w:noProof/>
                <w:sz w:val="18"/>
                <w:szCs w:val="18"/>
              </w:rPr>
            </w:pPr>
            <w:r w:rsidRPr="00575CC5">
              <w:rPr>
                <w:rFonts w:eastAsia="MingLiU"/>
                <w:noProof/>
                <w:sz w:val="18"/>
                <w:szCs w:val="18"/>
              </w:rPr>
              <w:t>Qualitative assessment by stakeholders on the extent to which the criminalisation of self-laundering led to enhanced collaboration and exchange of information between the Member States</w:t>
            </w:r>
          </w:p>
        </w:tc>
        <w:tc>
          <w:tcPr>
            <w:tcW w:w="1393" w:type="pct"/>
            <w:vMerge/>
          </w:tcPr>
          <w:p w14:paraId="5D6C96F2"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1F510A63" w14:textId="77777777">
        <w:trPr>
          <w:trHeight w:val="1410"/>
        </w:trPr>
        <w:tc>
          <w:tcPr>
            <w:tcW w:w="903" w:type="pct"/>
            <w:vMerge/>
          </w:tcPr>
          <w:p w14:paraId="350A0FE4" w14:textId="77777777" w:rsidR="00C87C82" w:rsidRPr="00575CC5" w:rsidRDefault="00C87C82">
            <w:pPr>
              <w:rPr>
                <w:rFonts w:ascii="Times New Roman" w:eastAsia="MingLiU" w:hAnsi="Times New Roman" w:cs="Times New Roman"/>
                <w:noProof/>
                <w:sz w:val="18"/>
                <w:szCs w:val="18"/>
              </w:rPr>
            </w:pPr>
          </w:p>
        </w:tc>
        <w:tc>
          <w:tcPr>
            <w:tcW w:w="1158" w:type="pct"/>
          </w:tcPr>
          <w:p w14:paraId="5E106708"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EQ6.4: To what extent has the criminalisation of self-laundering led to greater or lower number of money laundering prosecutions?</w:t>
            </w:r>
          </w:p>
        </w:tc>
        <w:tc>
          <w:tcPr>
            <w:tcW w:w="1546" w:type="pct"/>
          </w:tcPr>
          <w:p w14:paraId="364D8981" w14:textId="77777777" w:rsidR="00C87C82" w:rsidRPr="00575CC5" w:rsidRDefault="00C87C82" w:rsidP="00C87C82">
            <w:pPr>
              <w:pStyle w:val="ListParagraph"/>
              <w:numPr>
                <w:ilvl w:val="0"/>
                <w:numId w:val="35"/>
              </w:numPr>
              <w:spacing w:after="0"/>
              <w:jc w:val="left"/>
              <w:rPr>
                <w:rFonts w:eastAsia="MingLiU"/>
                <w:noProof/>
                <w:sz w:val="18"/>
                <w:szCs w:val="18"/>
              </w:rPr>
            </w:pPr>
            <w:r w:rsidRPr="00575CC5">
              <w:rPr>
                <w:rFonts w:eastAsia="MingLiU"/>
                <w:noProof/>
                <w:sz w:val="18"/>
                <w:szCs w:val="18"/>
              </w:rPr>
              <w:t>Number of “self-laundering” prosecutions before and after the entry into force and transposition of the Directive</w:t>
            </w:r>
          </w:p>
          <w:p w14:paraId="57A0ED68" w14:textId="77777777" w:rsidR="00C87C82" w:rsidRPr="00575CC5" w:rsidRDefault="00C87C82" w:rsidP="00C87C82">
            <w:pPr>
              <w:pStyle w:val="ListParagraph"/>
              <w:numPr>
                <w:ilvl w:val="0"/>
                <w:numId w:val="35"/>
              </w:numPr>
              <w:spacing w:after="0"/>
              <w:jc w:val="left"/>
              <w:rPr>
                <w:rFonts w:eastAsia="MingLiU"/>
                <w:noProof/>
                <w:sz w:val="18"/>
                <w:szCs w:val="18"/>
              </w:rPr>
            </w:pPr>
            <w:r w:rsidRPr="00575CC5">
              <w:rPr>
                <w:rFonts w:eastAsia="MingLiU"/>
                <w:noProof/>
                <w:sz w:val="18"/>
                <w:szCs w:val="18"/>
              </w:rPr>
              <w:t>Qualitative assessment by the stakeholders on the extent to which the criminalisation of self-laundering led to change in number of the money laundering prosecutions after the implementation of the Directive</w:t>
            </w:r>
          </w:p>
        </w:tc>
        <w:tc>
          <w:tcPr>
            <w:tcW w:w="1393" w:type="pct"/>
            <w:vMerge/>
          </w:tcPr>
          <w:p w14:paraId="53C09CED"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0BB3E7F0" w14:textId="77777777">
        <w:trPr>
          <w:trHeight w:val="1375"/>
        </w:trPr>
        <w:tc>
          <w:tcPr>
            <w:tcW w:w="903" w:type="pct"/>
            <w:vMerge/>
          </w:tcPr>
          <w:p w14:paraId="03084D16" w14:textId="77777777" w:rsidR="00C87C82" w:rsidRPr="00575CC5" w:rsidRDefault="00C87C82">
            <w:pPr>
              <w:rPr>
                <w:rFonts w:ascii="Times New Roman" w:eastAsia="MingLiU" w:hAnsi="Times New Roman" w:cs="Times New Roman"/>
                <w:noProof/>
                <w:sz w:val="18"/>
                <w:szCs w:val="18"/>
              </w:rPr>
            </w:pPr>
          </w:p>
        </w:tc>
        <w:tc>
          <w:tcPr>
            <w:tcW w:w="1158" w:type="pct"/>
          </w:tcPr>
          <w:p w14:paraId="708205A7"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 6.5: To what extent has the criminalisation of self-laundering led to greater or lower number of money laundering convictions?</w:t>
            </w:r>
          </w:p>
        </w:tc>
        <w:tc>
          <w:tcPr>
            <w:tcW w:w="1546" w:type="pct"/>
          </w:tcPr>
          <w:p w14:paraId="471FCE8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“self-laundering” convictions before and after the entry into force and transposition of the Directive</w:t>
            </w:r>
          </w:p>
          <w:p w14:paraId="2A421EEE"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 criminalisation of self-laundering led to change in number of money laundering convictions after the implementation of the Directive</w:t>
            </w:r>
          </w:p>
        </w:tc>
        <w:tc>
          <w:tcPr>
            <w:tcW w:w="1393" w:type="pct"/>
            <w:vMerge/>
          </w:tcPr>
          <w:p w14:paraId="45A951CC"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7E3C8741" w14:textId="77777777">
        <w:trPr>
          <w:trHeight w:val="1680"/>
        </w:trPr>
        <w:tc>
          <w:tcPr>
            <w:tcW w:w="903" w:type="pct"/>
            <w:vMerge/>
          </w:tcPr>
          <w:p w14:paraId="0FD59A16" w14:textId="77777777" w:rsidR="00C87C82" w:rsidRPr="00575CC5" w:rsidRDefault="00C87C82">
            <w:pPr>
              <w:rPr>
                <w:rFonts w:ascii="Times New Roman" w:eastAsia="MingLiU" w:hAnsi="Times New Roman" w:cs="Times New Roman"/>
                <w:noProof/>
                <w:sz w:val="18"/>
                <w:szCs w:val="18"/>
              </w:rPr>
            </w:pPr>
          </w:p>
        </w:tc>
        <w:tc>
          <w:tcPr>
            <w:tcW w:w="1158" w:type="pct"/>
          </w:tcPr>
          <w:p w14:paraId="108504CD"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 6.6: How can the Directive be further improved to close any gaps in cases where the prosecution of self-laundering does not lead to a conviction?</w:t>
            </w:r>
          </w:p>
        </w:tc>
        <w:tc>
          <w:tcPr>
            <w:tcW w:w="1546" w:type="pct"/>
          </w:tcPr>
          <w:p w14:paraId="5A15F8E6" w14:textId="77777777" w:rsidR="00C87C82" w:rsidRPr="00575CC5" w:rsidRDefault="00C87C82" w:rsidP="00C87C82">
            <w:pPr>
              <w:pStyle w:val="ListParagraph"/>
              <w:numPr>
                <w:ilvl w:val="0"/>
                <w:numId w:val="36"/>
              </w:numPr>
              <w:spacing w:after="0"/>
              <w:jc w:val="left"/>
              <w:rPr>
                <w:rFonts w:eastAsia="MingLiU"/>
                <w:noProof/>
                <w:sz w:val="18"/>
                <w:szCs w:val="18"/>
              </w:rPr>
            </w:pPr>
            <w:r w:rsidRPr="00575CC5">
              <w:rPr>
                <w:rFonts w:eastAsia="MingLiU"/>
                <w:noProof/>
                <w:sz w:val="18"/>
                <w:szCs w:val="18"/>
              </w:rPr>
              <w:t>Qualitative assessment by the stakeholders on the ways to further improve the Directive with regard to ‘’self-laundering’’ provisions</w:t>
            </w:r>
          </w:p>
        </w:tc>
        <w:tc>
          <w:tcPr>
            <w:tcW w:w="1393" w:type="pct"/>
            <w:vMerge/>
          </w:tcPr>
          <w:p w14:paraId="17FA73E3"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bl>
    <w:p w14:paraId="731DC6DD"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0E00B680" w14:textId="77777777">
        <w:trPr>
          <w:trHeight w:val="20"/>
          <w:tblHeader/>
        </w:trPr>
        <w:tc>
          <w:tcPr>
            <w:tcW w:w="903" w:type="pct"/>
            <w:shd w:val="clear" w:color="auto" w:fill="F2F2F2" w:themeFill="background1" w:themeFillShade="F2"/>
          </w:tcPr>
          <w:p w14:paraId="58630F09"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6B44A4C2" w14:textId="4D6CAB4E"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4371942C"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774E32D3"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01C3585B" w14:textId="77777777">
        <w:trPr>
          <w:trHeight w:val="20"/>
        </w:trPr>
        <w:tc>
          <w:tcPr>
            <w:tcW w:w="5000" w:type="pct"/>
            <w:gridSpan w:val="4"/>
            <w:shd w:val="clear" w:color="auto" w:fill="EAF1DD" w:themeFill="accent3" w:themeFillTint="33"/>
          </w:tcPr>
          <w:p w14:paraId="4C660B11"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647DF69D" w14:textId="77777777">
        <w:trPr>
          <w:trHeight w:val="877"/>
        </w:trPr>
        <w:tc>
          <w:tcPr>
            <w:tcW w:w="903" w:type="pct"/>
            <w:vMerge w:val="restart"/>
          </w:tcPr>
          <w:p w14:paraId="3E2151FB"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EQ7: Has the implementation of the Directive resulted in confiscation of property deriving from activities of a criminal nature, including in the absence of a conviction of a specific person or persons for those activities? If yes, and if applicable, what was the share of non-conviction-based confiscation proceedings? If not, what are the key obstacles hindering the implementation of such confiscation measures? </w:t>
            </w:r>
          </w:p>
        </w:tc>
        <w:tc>
          <w:tcPr>
            <w:tcW w:w="1158" w:type="pct"/>
          </w:tcPr>
          <w:p w14:paraId="1F52E97F"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EQ7.1: To what extent has the implementation of the Directive led to confiscation of property derived from criminal activities, including in the absence of a conviction of a specific person or persons for those activities?</w:t>
            </w:r>
          </w:p>
          <w:p w14:paraId="4AD4796A" w14:textId="77777777" w:rsidR="00C87C82" w:rsidRPr="00575CC5" w:rsidRDefault="00C87C82">
            <w:pPr>
              <w:contextualSpacing/>
              <w:rPr>
                <w:rFonts w:ascii="Times New Roman" w:eastAsia="MingLiU" w:hAnsi="Times New Roman" w:cs="Times New Roman"/>
                <w:noProof/>
                <w:sz w:val="18"/>
                <w:szCs w:val="18"/>
              </w:rPr>
            </w:pPr>
          </w:p>
        </w:tc>
        <w:tc>
          <w:tcPr>
            <w:tcW w:w="1546" w:type="pct"/>
          </w:tcPr>
          <w:p w14:paraId="5442ADE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Value of confiscated property derived from criminal activity before and after the entry into force and the transposition of the Directive</w:t>
            </w:r>
          </w:p>
          <w:p w14:paraId="1D163AF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Value of confiscated property derived from criminal activity in case of non-conviction before and after the entry into force and the transposition of the Directive</w:t>
            </w:r>
          </w:p>
          <w:p w14:paraId="78E079C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 implementation of the Directive led to confiscation of property derived from criminal activities, including in the absence of a conviction of a specific person or persons for those activities</w:t>
            </w:r>
          </w:p>
        </w:tc>
        <w:tc>
          <w:tcPr>
            <w:tcW w:w="1393" w:type="pct"/>
            <w:vMerge w:val="restart"/>
          </w:tcPr>
          <w:p w14:paraId="56ACD103"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3EDB348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7A7B3A71" w14:textId="77777777" w:rsidR="00C87C82" w:rsidRPr="00575CC5" w:rsidRDefault="00C87C82">
            <w:pPr>
              <w:pStyle w:val="ListParagraph"/>
              <w:spacing w:after="0"/>
              <w:ind w:left="360"/>
              <w:jc w:val="left"/>
              <w:rPr>
                <w:rFonts w:eastAsia="MingLiU"/>
                <w:noProof/>
                <w:sz w:val="18"/>
                <w:szCs w:val="18"/>
              </w:rPr>
            </w:pPr>
          </w:p>
        </w:tc>
      </w:tr>
      <w:tr w:rsidR="00C87C82" w:rsidRPr="00575CC5" w14:paraId="52D4644F" w14:textId="77777777">
        <w:trPr>
          <w:trHeight w:val="559"/>
        </w:trPr>
        <w:tc>
          <w:tcPr>
            <w:tcW w:w="903" w:type="pct"/>
            <w:vMerge/>
          </w:tcPr>
          <w:p w14:paraId="4F6ABEB9" w14:textId="77777777" w:rsidR="00C87C82" w:rsidRPr="00575CC5" w:rsidRDefault="00C87C82">
            <w:pPr>
              <w:rPr>
                <w:rFonts w:ascii="Times New Roman" w:eastAsia="MingLiU" w:hAnsi="Times New Roman" w:cs="Times New Roman"/>
                <w:noProof/>
                <w:sz w:val="18"/>
                <w:szCs w:val="18"/>
              </w:rPr>
            </w:pPr>
          </w:p>
        </w:tc>
        <w:tc>
          <w:tcPr>
            <w:tcW w:w="1158" w:type="pct"/>
          </w:tcPr>
          <w:p w14:paraId="4D23A94E" w14:textId="77777777" w:rsidR="00C87C82" w:rsidRPr="00575CC5" w:rsidRDefault="00C87C82">
            <w:pPr>
              <w:contextualSpacing/>
              <w:rPr>
                <w:rFonts w:ascii="Times New Roman" w:eastAsia="MingLiU" w:hAnsi="Times New Roman" w:cs="Times New Roman"/>
                <w:noProof/>
                <w:sz w:val="18"/>
                <w:szCs w:val="18"/>
                <w:lang w:val="fr-BE"/>
              </w:rPr>
            </w:pPr>
            <w:r w:rsidRPr="00575CC5">
              <w:rPr>
                <w:rFonts w:ascii="Times New Roman" w:eastAsia="MingLiU" w:hAnsi="Times New Roman" w:cs="Times New Roman"/>
                <w:noProof/>
                <w:sz w:val="18"/>
                <w:szCs w:val="18"/>
                <w:lang w:val="en-IE"/>
              </w:rPr>
              <w:t xml:space="preserve">EQ7.2: To what extent has the Directive contributed to greater challenges or successes in relation to confiscation of property derived from criminal activities, including in the absence of a conviction of a specific person or persons for those activities? </w:t>
            </w:r>
            <w:r w:rsidRPr="00575CC5">
              <w:rPr>
                <w:rFonts w:ascii="Times New Roman" w:eastAsia="MingLiU" w:hAnsi="Times New Roman" w:cs="Times New Roman"/>
                <w:noProof/>
                <w:sz w:val="18"/>
                <w:szCs w:val="18"/>
                <w:lang w:val="fr-BE"/>
              </w:rPr>
              <w:t>What are those challenges and successes?</w:t>
            </w:r>
          </w:p>
        </w:tc>
        <w:tc>
          <w:tcPr>
            <w:tcW w:w="1546" w:type="pct"/>
          </w:tcPr>
          <w:p w14:paraId="6C22F6F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presence of any challenges in relation to the confiscation of property, including non-conviction-based confiscation</w:t>
            </w:r>
          </w:p>
          <w:p w14:paraId="14695593"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Indication of specific challenges and successes with regard to the confiscation of property, including non-conviction-based confiscation</w:t>
            </w:r>
          </w:p>
        </w:tc>
        <w:tc>
          <w:tcPr>
            <w:tcW w:w="1393" w:type="pct"/>
            <w:vMerge/>
          </w:tcPr>
          <w:p w14:paraId="280494FD"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0E4940F1" w14:textId="77777777">
        <w:trPr>
          <w:trHeight w:val="1017"/>
        </w:trPr>
        <w:tc>
          <w:tcPr>
            <w:tcW w:w="903" w:type="pct"/>
            <w:vMerge/>
          </w:tcPr>
          <w:p w14:paraId="3918FF98" w14:textId="77777777" w:rsidR="00C87C82" w:rsidRPr="00575CC5" w:rsidRDefault="00C87C82">
            <w:pPr>
              <w:rPr>
                <w:rFonts w:ascii="Times New Roman" w:eastAsia="MingLiU" w:hAnsi="Times New Roman" w:cs="Times New Roman"/>
                <w:noProof/>
                <w:sz w:val="18"/>
                <w:szCs w:val="18"/>
              </w:rPr>
            </w:pPr>
          </w:p>
        </w:tc>
        <w:tc>
          <w:tcPr>
            <w:tcW w:w="1158" w:type="pct"/>
          </w:tcPr>
          <w:p w14:paraId="0F123C58"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EQ7.3:  To what extent has the Directive led to the initiation and execution of non-conviction-based confiscation?</w:t>
            </w:r>
          </w:p>
        </w:tc>
        <w:tc>
          <w:tcPr>
            <w:tcW w:w="1546" w:type="pct"/>
          </w:tcPr>
          <w:p w14:paraId="49A1B271"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Number of initiations and executions of non-conviction-based confiscations</w:t>
            </w:r>
          </w:p>
          <w:p w14:paraId="5B4774E9"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extent to which the Directive has led to the initiation and execution of non-conviction-based confiscation</w:t>
            </w:r>
          </w:p>
        </w:tc>
        <w:tc>
          <w:tcPr>
            <w:tcW w:w="1393" w:type="pct"/>
            <w:vMerge/>
          </w:tcPr>
          <w:p w14:paraId="5F5D0302"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43E83308" w14:textId="77777777">
        <w:trPr>
          <w:trHeight w:val="531"/>
        </w:trPr>
        <w:tc>
          <w:tcPr>
            <w:tcW w:w="903" w:type="pct"/>
            <w:vMerge/>
          </w:tcPr>
          <w:p w14:paraId="2B4D0F88" w14:textId="77777777" w:rsidR="00C87C82" w:rsidRPr="00575CC5" w:rsidRDefault="00C87C82">
            <w:pPr>
              <w:rPr>
                <w:rFonts w:ascii="Times New Roman" w:hAnsi="Times New Roman" w:cs="Times New Roman"/>
                <w:noProof/>
              </w:rPr>
            </w:pPr>
          </w:p>
        </w:tc>
        <w:tc>
          <w:tcPr>
            <w:tcW w:w="1158" w:type="pct"/>
          </w:tcPr>
          <w:p w14:paraId="46598DCD" w14:textId="77777777" w:rsidR="00C87C82" w:rsidRPr="00575CC5" w:rsidRDefault="00C87C82">
            <w:pPr>
              <w:rPr>
                <w:rFonts w:ascii="Times New Roman" w:eastAsia="Verdana"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EQ7.4: How can the Directive be further improved to overcome challenges in relation to the confiscation of property derived from criminal activity, including in the context of non-conviction-based confiscation?  </w:t>
            </w:r>
          </w:p>
        </w:tc>
        <w:tc>
          <w:tcPr>
            <w:tcW w:w="1546" w:type="pct"/>
          </w:tcPr>
          <w:p w14:paraId="74A1D08E"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Qualitative assessment by the stakeholders on the ways to further improve the Directive with regard to confiscation of property derived from criminal activity, including in the context of non-conviction-based confiscation</w:t>
            </w:r>
          </w:p>
        </w:tc>
        <w:tc>
          <w:tcPr>
            <w:tcW w:w="1393" w:type="pct"/>
            <w:vMerge/>
          </w:tcPr>
          <w:p w14:paraId="7ECAC4AE" w14:textId="77777777" w:rsidR="00C87C82" w:rsidRPr="00575CC5" w:rsidRDefault="00C87C82">
            <w:pPr>
              <w:rPr>
                <w:rFonts w:ascii="Times New Roman" w:hAnsi="Times New Roman" w:cs="Times New Roman"/>
                <w:noProof/>
              </w:rPr>
            </w:pPr>
          </w:p>
        </w:tc>
      </w:tr>
    </w:tbl>
    <w:p w14:paraId="3DFAA26F"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6310A368" w14:textId="77777777">
        <w:trPr>
          <w:trHeight w:val="20"/>
        </w:trPr>
        <w:tc>
          <w:tcPr>
            <w:tcW w:w="5000" w:type="pct"/>
            <w:gridSpan w:val="4"/>
            <w:shd w:val="clear" w:color="auto" w:fill="EAF1DD" w:themeFill="accent3" w:themeFillTint="33"/>
          </w:tcPr>
          <w:p w14:paraId="53363EB6"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68605687" w14:textId="77777777">
        <w:trPr>
          <w:trHeight w:val="420"/>
        </w:trPr>
        <w:tc>
          <w:tcPr>
            <w:tcW w:w="903" w:type="pct"/>
            <w:vMerge w:val="restart"/>
          </w:tcPr>
          <w:p w14:paraId="1059BE13"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 To what extent have Member States implemented optional provisions (“may clauses”) of the Directive? What positive impact does it have in the fight against money laundering and cross border cooperation?</w:t>
            </w:r>
          </w:p>
        </w:tc>
        <w:tc>
          <w:tcPr>
            <w:tcW w:w="1158" w:type="pct"/>
          </w:tcPr>
          <w:p w14:paraId="5DDDAAF4"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EQ8.1: Which Member States have implemented optional provisions (“may clauses”) of the Directive?</w:t>
            </w:r>
          </w:p>
        </w:tc>
        <w:tc>
          <w:tcPr>
            <w:tcW w:w="1546" w:type="pct"/>
          </w:tcPr>
          <w:p w14:paraId="1BF43A7E"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List of Member States which have implemented optional provisions</w:t>
            </w:r>
          </w:p>
        </w:tc>
        <w:tc>
          <w:tcPr>
            <w:tcW w:w="1393" w:type="pct"/>
            <w:vMerge w:val="restart"/>
          </w:tcPr>
          <w:p w14:paraId="0374C42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judicial authorities in EU Member States</w:t>
            </w:r>
          </w:p>
          <w:p w14:paraId="3196A20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7AD1C7E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5CEF6E1E"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 at EU bodies and agencies, incl. discovery interviews with DGs</w:t>
            </w:r>
          </w:p>
        </w:tc>
      </w:tr>
      <w:tr w:rsidR="00C87C82" w:rsidRPr="00575CC5" w14:paraId="2358D440" w14:textId="77777777">
        <w:trPr>
          <w:trHeight w:val="420"/>
        </w:trPr>
        <w:tc>
          <w:tcPr>
            <w:tcW w:w="903" w:type="pct"/>
            <w:vMerge/>
          </w:tcPr>
          <w:p w14:paraId="52E46CE2" w14:textId="77777777" w:rsidR="00C87C82" w:rsidRPr="00575CC5" w:rsidRDefault="00C87C82">
            <w:pPr>
              <w:rPr>
                <w:rFonts w:ascii="Times New Roman" w:eastAsia="MingLiU" w:hAnsi="Times New Roman" w:cs="Times New Roman"/>
                <w:noProof/>
                <w:sz w:val="18"/>
                <w:szCs w:val="18"/>
              </w:rPr>
            </w:pPr>
          </w:p>
        </w:tc>
        <w:tc>
          <w:tcPr>
            <w:tcW w:w="1158" w:type="pct"/>
          </w:tcPr>
          <w:p w14:paraId="2031ECE6"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EQ8.2: What specific optional provisions within the Directive have been implemented by the Member States? </w:t>
            </w:r>
          </w:p>
        </w:tc>
        <w:tc>
          <w:tcPr>
            <w:tcW w:w="1546" w:type="pct"/>
          </w:tcPr>
          <w:p w14:paraId="365A026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List of optional provisions implemented per Member State</w:t>
            </w:r>
          </w:p>
        </w:tc>
        <w:tc>
          <w:tcPr>
            <w:tcW w:w="1393" w:type="pct"/>
            <w:vMerge/>
          </w:tcPr>
          <w:p w14:paraId="361A2060"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7DC53467" w14:textId="77777777">
        <w:trPr>
          <w:trHeight w:val="420"/>
        </w:trPr>
        <w:tc>
          <w:tcPr>
            <w:tcW w:w="903" w:type="pct"/>
            <w:vMerge/>
          </w:tcPr>
          <w:p w14:paraId="21D358C5" w14:textId="77777777" w:rsidR="00C87C82" w:rsidRPr="00575CC5" w:rsidRDefault="00C87C82">
            <w:pPr>
              <w:rPr>
                <w:rFonts w:ascii="Times New Roman" w:hAnsi="Times New Roman" w:cs="Times New Roman"/>
                <w:noProof/>
              </w:rPr>
            </w:pPr>
          </w:p>
        </w:tc>
        <w:tc>
          <w:tcPr>
            <w:tcW w:w="1158" w:type="pct"/>
          </w:tcPr>
          <w:p w14:paraId="440135EA"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EQ8.2: To what extent are the optional provisions (“may clauses”) of the Directive aligned across Member States?</w:t>
            </w:r>
          </w:p>
        </w:tc>
        <w:tc>
          <w:tcPr>
            <w:tcW w:w="1546" w:type="pct"/>
          </w:tcPr>
          <w:p w14:paraId="7D7E1C4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on the degree of alignment of the optional provisions across the Member States</w:t>
            </w:r>
          </w:p>
          <w:p w14:paraId="6A0F1067" w14:textId="77777777" w:rsidR="00C87C82" w:rsidRPr="00575CC5" w:rsidRDefault="00C87C82">
            <w:pPr>
              <w:rPr>
                <w:rFonts w:ascii="Times New Roman" w:eastAsia="MingLiU" w:hAnsi="Times New Roman" w:cs="Times New Roman"/>
                <w:noProof/>
                <w:sz w:val="18"/>
                <w:szCs w:val="18"/>
              </w:rPr>
            </w:pPr>
          </w:p>
        </w:tc>
        <w:tc>
          <w:tcPr>
            <w:tcW w:w="1393" w:type="pct"/>
            <w:vMerge/>
          </w:tcPr>
          <w:p w14:paraId="5EF52625" w14:textId="77777777" w:rsidR="00C87C82" w:rsidRPr="00575CC5" w:rsidRDefault="00C87C82">
            <w:pPr>
              <w:pStyle w:val="ListParagraph"/>
              <w:rPr>
                <w:noProof/>
              </w:rPr>
            </w:pPr>
          </w:p>
        </w:tc>
      </w:tr>
      <w:tr w:rsidR="00C87C82" w:rsidRPr="00575CC5" w14:paraId="02CF8A77" w14:textId="77777777">
        <w:trPr>
          <w:trHeight w:val="828"/>
        </w:trPr>
        <w:tc>
          <w:tcPr>
            <w:tcW w:w="903" w:type="pct"/>
            <w:vMerge/>
          </w:tcPr>
          <w:p w14:paraId="117840E4" w14:textId="77777777" w:rsidR="00C87C82" w:rsidRPr="00575CC5" w:rsidRDefault="00C87C82">
            <w:pPr>
              <w:rPr>
                <w:rFonts w:ascii="Times New Roman" w:eastAsia="MingLiU" w:hAnsi="Times New Roman" w:cs="Times New Roman"/>
                <w:noProof/>
                <w:sz w:val="18"/>
                <w:szCs w:val="18"/>
              </w:rPr>
            </w:pPr>
          </w:p>
        </w:tc>
        <w:tc>
          <w:tcPr>
            <w:tcW w:w="1158" w:type="pct"/>
          </w:tcPr>
          <w:p w14:paraId="4D5E2CD7"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EQ8.3: To what extent has the introduction of optional provisions (‘’may clauses’’) contributed to cross-border cooperation and exchange of information within the European Union?</w:t>
            </w:r>
          </w:p>
        </w:tc>
        <w:tc>
          <w:tcPr>
            <w:tcW w:w="1546" w:type="pct"/>
          </w:tcPr>
          <w:p w14:paraId="30EB0EEB"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Qualitative assessment by the stakeholders on the extent to which the introduction of optional provisions (‘’may clauses’’) contributed to cross-border cooperation and exchange of information within the European Union </w:t>
            </w:r>
          </w:p>
        </w:tc>
        <w:tc>
          <w:tcPr>
            <w:tcW w:w="1393" w:type="pct"/>
            <w:vMerge/>
          </w:tcPr>
          <w:p w14:paraId="44A82CE8"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1E092E96" w14:textId="77777777">
        <w:trPr>
          <w:trHeight w:val="653"/>
        </w:trPr>
        <w:tc>
          <w:tcPr>
            <w:tcW w:w="903" w:type="pct"/>
            <w:vMerge/>
          </w:tcPr>
          <w:p w14:paraId="6EFFA3F6" w14:textId="77777777" w:rsidR="00C87C82" w:rsidRPr="00575CC5" w:rsidRDefault="00C87C82">
            <w:pPr>
              <w:rPr>
                <w:rFonts w:ascii="Times New Roman" w:eastAsia="MingLiU" w:hAnsi="Times New Roman" w:cs="Times New Roman"/>
                <w:noProof/>
                <w:sz w:val="18"/>
                <w:szCs w:val="18"/>
              </w:rPr>
            </w:pPr>
          </w:p>
        </w:tc>
        <w:tc>
          <w:tcPr>
            <w:tcW w:w="1158" w:type="pct"/>
          </w:tcPr>
          <w:p w14:paraId="6041FF11"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EQ8.4:  To what extent has the introduction of the optional provisions of the Directive (‘’may clauses’’) impacted the operational capacities of law enforcement agencies?</w:t>
            </w:r>
          </w:p>
        </w:tc>
        <w:tc>
          <w:tcPr>
            <w:tcW w:w="1546" w:type="pct"/>
          </w:tcPr>
          <w:p w14:paraId="5EE312E7"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extent to which the introduction of the optional provisions of the Directive (‘’may clauses’’) impacted the operational capacities of law enforcement agencies</w:t>
            </w:r>
          </w:p>
        </w:tc>
        <w:tc>
          <w:tcPr>
            <w:tcW w:w="1393" w:type="pct"/>
            <w:vMerge/>
          </w:tcPr>
          <w:p w14:paraId="48591F0E"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0C6D5096" w14:textId="77777777">
        <w:trPr>
          <w:trHeight w:val="760"/>
        </w:trPr>
        <w:tc>
          <w:tcPr>
            <w:tcW w:w="903" w:type="pct"/>
            <w:vMerge/>
          </w:tcPr>
          <w:p w14:paraId="614CE371" w14:textId="77777777" w:rsidR="00C87C82" w:rsidRPr="00575CC5" w:rsidRDefault="00C87C82">
            <w:pPr>
              <w:rPr>
                <w:rFonts w:ascii="Times New Roman" w:eastAsia="MingLiU" w:hAnsi="Times New Roman" w:cs="Times New Roman"/>
                <w:noProof/>
                <w:sz w:val="18"/>
                <w:szCs w:val="18"/>
              </w:rPr>
            </w:pPr>
          </w:p>
        </w:tc>
        <w:tc>
          <w:tcPr>
            <w:tcW w:w="1158" w:type="pct"/>
          </w:tcPr>
          <w:p w14:paraId="5DBE53AB"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EQ8.5: To what extent has the introduction of the optional provisions of the Directive (‘’may clauses’’) impacted the work of the judiciary (i.e., the jurisprudence)? </w:t>
            </w:r>
          </w:p>
        </w:tc>
        <w:tc>
          <w:tcPr>
            <w:tcW w:w="1546" w:type="pct"/>
          </w:tcPr>
          <w:p w14:paraId="699CBD5B"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extent to which the introduction of the optional provisions of the Directive (‘’may clauses’’) impacted the work of the judiciary (i.e., the jurisprudence)</w:t>
            </w:r>
          </w:p>
        </w:tc>
        <w:tc>
          <w:tcPr>
            <w:tcW w:w="1393" w:type="pct"/>
            <w:vMerge/>
          </w:tcPr>
          <w:p w14:paraId="3D193E06"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5269C483" w14:textId="77777777">
        <w:trPr>
          <w:trHeight w:val="760"/>
        </w:trPr>
        <w:tc>
          <w:tcPr>
            <w:tcW w:w="903" w:type="pct"/>
            <w:vMerge/>
          </w:tcPr>
          <w:p w14:paraId="58B94D41" w14:textId="77777777" w:rsidR="00C87C82" w:rsidRPr="00575CC5" w:rsidRDefault="00C87C82">
            <w:pPr>
              <w:rPr>
                <w:rFonts w:ascii="Times New Roman" w:hAnsi="Times New Roman" w:cs="Times New Roman"/>
                <w:noProof/>
              </w:rPr>
            </w:pPr>
          </w:p>
        </w:tc>
        <w:tc>
          <w:tcPr>
            <w:tcW w:w="1158" w:type="pct"/>
          </w:tcPr>
          <w:p w14:paraId="57D58A62"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EQ8.6: What are the main challenges and obstacles identified by Member States in the implementation of the optional provisions (‘’may clauses)’’?</w:t>
            </w:r>
          </w:p>
        </w:tc>
        <w:tc>
          <w:tcPr>
            <w:tcW w:w="1546" w:type="pct"/>
          </w:tcPr>
          <w:p w14:paraId="362AAE4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The presence of any challenges in the implementation of the optional provisions of the Directive (‘’may clauses’’)</w:t>
            </w:r>
          </w:p>
          <w:p w14:paraId="1E6D1AD0" w14:textId="77777777" w:rsidR="00C87C82" w:rsidRPr="00575CC5" w:rsidRDefault="00C87C82">
            <w:pPr>
              <w:rPr>
                <w:rFonts w:ascii="Times New Roman" w:hAnsi="Times New Roman" w:cs="Times New Roman"/>
                <w:noProof/>
              </w:rPr>
            </w:pPr>
          </w:p>
        </w:tc>
        <w:tc>
          <w:tcPr>
            <w:tcW w:w="1393" w:type="pct"/>
            <w:vMerge/>
          </w:tcPr>
          <w:p w14:paraId="5AAA4D71" w14:textId="77777777" w:rsidR="00C87C82" w:rsidRPr="00575CC5" w:rsidRDefault="00C87C82">
            <w:pPr>
              <w:rPr>
                <w:rFonts w:ascii="Times New Roman" w:hAnsi="Times New Roman" w:cs="Times New Roman"/>
                <w:noProof/>
              </w:rPr>
            </w:pPr>
          </w:p>
        </w:tc>
      </w:tr>
      <w:tr w:rsidR="00C87C82" w:rsidRPr="00575CC5" w14:paraId="669B0ACE" w14:textId="77777777">
        <w:trPr>
          <w:trHeight w:val="701"/>
        </w:trPr>
        <w:tc>
          <w:tcPr>
            <w:tcW w:w="903" w:type="pct"/>
            <w:vMerge/>
          </w:tcPr>
          <w:p w14:paraId="3EA4B4F9" w14:textId="77777777" w:rsidR="00C87C82" w:rsidRPr="00575CC5" w:rsidRDefault="00C87C82">
            <w:pPr>
              <w:rPr>
                <w:rFonts w:ascii="Times New Roman" w:eastAsia="MingLiU" w:hAnsi="Times New Roman" w:cs="Times New Roman"/>
                <w:noProof/>
                <w:sz w:val="18"/>
                <w:szCs w:val="18"/>
              </w:rPr>
            </w:pPr>
          </w:p>
        </w:tc>
        <w:tc>
          <w:tcPr>
            <w:tcW w:w="1158" w:type="pct"/>
          </w:tcPr>
          <w:p w14:paraId="4FBF9710"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EQ8.7: How can the Directive be further improved to overcome any challenges or obstacles in relation to the implementation of the optional provisions of the Directive (‘’may clauses’’)?</w:t>
            </w:r>
          </w:p>
        </w:tc>
        <w:tc>
          <w:tcPr>
            <w:tcW w:w="1546" w:type="pct"/>
          </w:tcPr>
          <w:p w14:paraId="04131C2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ways to overcome any challenges or obstacles in relation to the implementation of the optional provisions of the Directive (‘’may clauses’’)</w:t>
            </w:r>
          </w:p>
        </w:tc>
        <w:tc>
          <w:tcPr>
            <w:tcW w:w="1393" w:type="pct"/>
            <w:vMerge/>
          </w:tcPr>
          <w:p w14:paraId="6C2BC7C0" w14:textId="77777777" w:rsidR="00C87C82" w:rsidRPr="00575CC5" w:rsidRDefault="00C87C82" w:rsidP="00C87C82">
            <w:pPr>
              <w:pStyle w:val="ListParagraph"/>
              <w:numPr>
                <w:ilvl w:val="0"/>
                <w:numId w:val="33"/>
              </w:numPr>
              <w:spacing w:after="0"/>
              <w:jc w:val="left"/>
              <w:rPr>
                <w:rFonts w:eastAsia="MingLiU"/>
                <w:noProof/>
                <w:sz w:val="18"/>
                <w:szCs w:val="18"/>
              </w:rPr>
            </w:pPr>
          </w:p>
        </w:tc>
      </w:tr>
    </w:tbl>
    <w:p w14:paraId="64FA7CFD"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37891035" w14:textId="77777777">
        <w:trPr>
          <w:trHeight w:val="20"/>
          <w:tblHeader/>
        </w:trPr>
        <w:tc>
          <w:tcPr>
            <w:tcW w:w="903" w:type="pct"/>
            <w:shd w:val="clear" w:color="auto" w:fill="F2F2F2" w:themeFill="background1" w:themeFillShade="F2"/>
          </w:tcPr>
          <w:p w14:paraId="7899F549"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4563E9A1" w14:textId="5CF4B7C9"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2506A5EC"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0B181FCF"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40A136BF" w14:textId="77777777">
        <w:trPr>
          <w:trHeight w:val="20"/>
        </w:trPr>
        <w:tc>
          <w:tcPr>
            <w:tcW w:w="5000" w:type="pct"/>
            <w:gridSpan w:val="4"/>
            <w:shd w:val="clear" w:color="auto" w:fill="EAF1DD" w:themeFill="accent3" w:themeFillTint="33"/>
          </w:tcPr>
          <w:p w14:paraId="203F8A16"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4FE02847" w14:textId="77777777">
        <w:trPr>
          <w:trHeight w:val="1160"/>
        </w:trPr>
        <w:tc>
          <w:tcPr>
            <w:tcW w:w="903" w:type="pct"/>
            <w:vMerge w:val="restart"/>
          </w:tcPr>
          <w:p w14:paraId="03BE258B"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EQ9: </w:t>
            </w:r>
            <w:r w:rsidRPr="00575CC5">
              <w:rPr>
                <w:rFonts w:ascii="Times New Roman" w:eastAsia="Verdana" w:hAnsi="Times New Roman" w:cs="Times New Roman"/>
                <w:noProof/>
                <w:sz w:val="18"/>
                <w:szCs w:val="18"/>
                <w:lang w:val="en-IE"/>
              </w:rPr>
              <w:t xml:space="preserve"> Regarding the application of the new provisions of the Directive, to what extent were any legislative national measures already in place before the adoption of the Directive?</w:t>
            </w:r>
          </w:p>
        </w:tc>
        <w:tc>
          <w:tcPr>
            <w:tcW w:w="1158" w:type="pct"/>
          </w:tcPr>
          <w:p w14:paraId="30B2E50B"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EQ9.1: </w:t>
            </w:r>
            <w:r w:rsidRPr="00575CC5">
              <w:rPr>
                <w:rFonts w:ascii="Times New Roman" w:eastAsia="Verdana" w:hAnsi="Times New Roman" w:cs="Times New Roman"/>
                <w:noProof/>
                <w:sz w:val="18"/>
                <w:szCs w:val="18"/>
                <w:lang w:val="en-IE"/>
              </w:rPr>
              <w:t xml:space="preserve"> What specific national legislative measures were already in place prior to the adoption of the Directive, and to what extent has the entry into force and the transposition of the Directive impacted or complemented these existing measures?</w:t>
            </w:r>
          </w:p>
        </w:tc>
        <w:tc>
          <w:tcPr>
            <w:tcW w:w="1546" w:type="pct"/>
          </w:tcPr>
          <w:p w14:paraId="5A099C8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List of Member States that had already national legislative measures in place prior to the adoption of the Directive</w:t>
            </w:r>
          </w:p>
          <w:p w14:paraId="3DC6D67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List of national legislative measures already in place before the adoption of the Directive</w:t>
            </w:r>
          </w:p>
          <w:p w14:paraId="101E4A8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 entry into force and the transposition of the Directive has impacted or complemented these existing measures</w:t>
            </w:r>
          </w:p>
          <w:p w14:paraId="751DF8D4"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State of overall effectiveness of the combination of pre and post existing measures</w:t>
            </w:r>
          </w:p>
        </w:tc>
        <w:tc>
          <w:tcPr>
            <w:tcW w:w="1393" w:type="pct"/>
            <w:vMerge w:val="restart"/>
          </w:tcPr>
          <w:p w14:paraId="19DFCA6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3964FF7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72A9C34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75B5AACC"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556647DF" w14:textId="77777777" w:rsidR="00C87C82" w:rsidRPr="00575CC5" w:rsidRDefault="00C87C82">
            <w:pPr>
              <w:rPr>
                <w:rFonts w:ascii="Times New Roman" w:eastAsia="MingLiU" w:hAnsi="Times New Roman" w:cs="Times New Roman"/>
                <w:noProof/>
                <w:sz w:val="18"/>
                <w:szCs w:val="18"/>
              </w:rPr>
            </w:pPr>
          </w:p>
        </w:tc>
      </w:tr>
      <w:tr w:rsidR="00C87C82" w:rsidRPr="00575CC5" w14:paraId="12D41A8B" w14:textId="77777777">
        <w:trPr>
          <w:trHeight w:val="542"/>
        </w:trPr>
        <w:tc>
          <w:tcPr>
            <w:tcW w:w="903" w:type="pct"/>
            <w:vMerge/>
          </w:tcPr>
          <w:p w14:paraId="657605B4" w14:textId="77777777" w:rsidR="00C87C82" w:rsidRPr="00575CC5" w:rsidRDefault="00C87C82">
            <w:pPr>
              <w:rPr>
                <w:rFonts w:ascii="Times New Roman" w:eastAsia="MingLiU" w:hAnsi="Times New Roman" w:cs="Times New Roman"/>
                <w:noProof/>
                <w:sz w:val="18"/>
                <w:szCs w:val="18"/>
              </w:rPr>
            </w:pPr>
          </w:p>
        </w:tc>
        <w:tc>
          <w:tcPr>
            <w:tcW w:w="1158" w:type="pct"/>
          </w:tcPr>
          <w:p w14:paraId="7BC5C964"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EQ9.2: </w:t>
            </w:r>
            <w:r w:rsidRPr="00575CC5">
              <w:rPr>
                <w:rFonts w:ascii="Times New Roman" w:eastAsia="Verdana" w:hAnsi="Times New Roman" w:cs="Times New Roman"/>
                <w:noProof/>
                <w:sz w:val="18"/>
                <w:szCs w:val="18"/>
                <w:lang w:val="en-IE"/>
              </w:rPr>
              <w:t xml:space="preserve"> To what extent did the integration of the new provisions of the Directive with pre-existing national legislative measures contribute to the enhancement of the regulatory framework and in what way? </w:t>
            </w:r>
          </w:p>
        </w:tc>
        <w:tc>
          <w:tcPr>
            <w:tcW w:w="1546" w:type="pct"/>
          </w:tcPr>
          <w:p w14:paraId="6DCBFCF5"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Qualitative assessment by the stakeholders on the extent to which </w:t>
            </w:r>
            <w:r w:rsidRPr="00575CC5">
              <w:rPr>
                <w:rFonts w:ascii="Times New Roman" w:eastAsia="Verdana" w:hAnsi="Times New Roman" w:cs="Times New Roman"/>
                <w:noProof/>
                <w:sz w:val="18"/>
                <w:szCs w:val="18"/>
                <w:lang w:val="en-IE"/>
              </w:rPr>
              <w:t>the integration of the new provisions of the Directive with pre-existing national legislative measures contributed to the enhancement of the overall regulatory framework</w:t>
            </w:r>
          </w:p>
          <w:p w14:paraId="45B4381E"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Verdana" w:hAnsi="Times New Roman" w:cs="Times New Roman"/>
                <w:noProof/>
                <w:sz w:val="18"/>
                <w:szCs w:val="18"/>
                <w:lang w:val="en-IE"/>
              </w:rPr>
              <w:t>Qualitative assessment by the stakeholders on the way the integration of the new provisions of the Directive with pre-existing national legislative measures contributed to the enhancement of the overall regulatory framework</w:t>
            </w:r>
          </w:p>
        </w:tc>
        <w:tc>
          <w:tcPr>
            <w:tcW w:w="1393" w:type="pct"/>
            <w:vMerge/>
          </w:tcPr>
          <w:p w14:paraId="2DD9AD24"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5FFBD349" w14:textId="77777777">
        <w:trPr>
          <w:trHeight w:val="542"/>
        </w:trPr>
        <w:tc>
          <w:tcPr>
            <w:tcW w:w="903" w:type="pct"/>
            <w:vMerge/>
          </w:tcPr>
          <w:p w14:paraId="6E0AFF84" w14:textId="77777777" w:rsidR="00C87C82" w:rsidRPr="00575CC5" w:rsidRDefault="00C87C82">
            <w:pPr>
              <w:rPr>
                <w:rFonts w:ascii="Times New Roman" w:hAnsi="Times New Roman" w:cs="Times New Roman"/>
                <w:noProof/>
              </w:rPr>
            </w:pPr>
          </w:p>
        </w:tc>
        <w:tc>
          <w:tcPr>
            <w:tcW w:w="1158" w:type="pct"/>
          </w:tcPr>
          <w:p w14:paraId="36F94D8F" w14:textId="77777777" w:rsidR="00C87C82" w:rsidRPr="00575CC5" w:rsidRDefault="00C87C82">
            <w:pPr>
              <w:rPr>
                <w:rFonts w:ascii="Times New Roman" w:hAnsi="Times New Roman" w:cs="Times New Roman"/>
                <w:noProof/>
                <w:lang w:val="en-IE"/>
              </w:rPr>
            </w:pPr>
            <w:r w:rsidRPr="00575CC5">
              <w:rPr>
                <w:rFonts w:ascii="Times New Roman" w:eastAsia="Verdana" w:hAnsi="Times New Roman" w:cs="Times New Roman"/>
                <w:noProof/>
                <w:sz w:val="18"/>
                <w:szCs w:val="18"/>
                <w:lang w:val="en-IE"/>
              </w:rPr>
              <w:t>EQ9.3: To what extent have any national legislative measures or good practices, which were previously effective, become ineffective or significantly restricted following the implementation of the Directive (if any)?</w:t>
            </w:r>
          </w:p>
        </w:tc>
        <w:tc>
          <w:tcPr>
            <w:tcW w:w="1546" w:type="pct"/>
          </w:tcPr>
          <w:p w14:paraId="1521424A" w14:textId="77777777" w:rsidR="00C87C82" w:rsidRPr="00575CC5" w:rsidRDefault="00C87C82" w:rsidP="00C87C82">
            <w:pPr>
              <w:pStyle w:val="ListParagraph"/>
              <w:numPr>
                <w:ilvl w:val="0"/>
                <w:numId w:val="38"/>
              </w:numPr>
              <w:spacing w:after="0"/>
              <w:ind w:left="357" w:hanging="357"/>
              <w:rPr>
                <w:noProof/>
                <w:sz w:val="18"/>
                <w:szCs w:val="18"/>
              </w:rPr>
            </w:pPr>
            <w:r w:rsidRPr="00575CC5">
              <w:rPr>
                <w:noProof/>
                <w:sz w:val="18"/>
                <w:szCs w:val="18"/>
              </w:rPr>
              <w:t xml:space="preserve">Qualitative assessment by the stakeholders on the extent (if any) to which </w:t>
            </w:r>
            <w:r w:rsidRPr="00575CC5">
              <w:rPr>
                <w:rFonts w:eastAsia="Verdana"/>
                <w:noProof/>
                <w:sz w:val="18"/>
                <w:szCs w:val="18"/>
              </w:rPr>
              <w:t>any national legislative measures or good practices, which were previously effective, become ineffective or significantly restricted following the implementation of the Directive</w:t>
            </w:r>
          </w:p>
        </w:tc>
        <w:tc>
          <w:tcPr>
            <w:tcW w:w="1393" w:type="pct"/>
            <w:vMerge/>
          </w:tcPr>
          <w:p w14:paraId="37F8D478" w14:textId="77777777" w:rsidR="00C87C82" w:rsidRPr="00575CC5" w:rsidRDefault="00C87C82">
            <w:pPr>
              <w:rPr>
                <w:rFonts w:ascii="Times New Roman" w:hAnsi="Times New Roman" w:cs="Times New Roman"/>
                <w:noProof/>
              </w:rPr>
            </w:pPr>
          </w:p>
        </w:tc>
      </w:tr>
    </w:tbl>
    <w:p w14:paraId="5AE59399"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2A1AE76C" w14:textId="77777777">
        <w:trPr>
          <w:trHeight w:val="20"/>
          <w:tblHeader/>
        </w:trPr>
        <w:tc>
          <w:tcPr>
            <w:tcW w:w="903" w:type="pct"/>
            <w:shd w:val="clear" w:color="auto" w:fill="F2F2F2" w:themeFill="background1" w:themeFillShade="F2"/>
          </w:tcPr>
          <w:p w14:paraId="345C4CFE"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54028224" w14:textId="333B7BCD"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7F477F0F"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74E2566F"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05BC6FAF" w14:textId="77777777">
        <w:trPr>
          <w:trHeight w:val="20"/>
        </w:trPr>
        <w:tc>
          <w:tcPr>
            <w:tcW w:w="5000" w:type="pct"/>
            <w:gridSpan w:val="4"/>
            <w:shd w:val="clear" w:color="auto" w:fill="EAF1DD" w:themeFill="accent3" w:themeFillTint="33"/>
          </w:tcPr>
          <w:p w14:paraId="652CE0E4"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05A99870" w14:textId="77777777">
        <w:trPr>
          <w:trHeight w:val="890"/>
        </w:trPr>
        <w:tc>
          <w:tcPr>
            <w:tcW w:w="903" w:type="pct"/>
            <w:vMerge w:val="restart"/>
          </w:tcPr>
          <w:p w14:paraId="291552C9"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EQ10: To what extent and why is the level of effectiveness of the relevant provisions of the Directive different in the different Member States?</w:t>
            </w:r>
          </w:p>
        </w:tc>
        <w:tc>
          <w:tcPr>
            <w:tcW w:w="1158" w:type="pct"/>
          </w:tcPr>
          <w:p w14:paraId="3215A410"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EQ10.1: To what extent are the relevant provisions of the Directive effective in each Member State?</w:t>
            </w:r>
          </w:p>
        </w:tc>
        <w:tc>
          <w:tcPr>
            <w:tcW w:w="1546" w:type="pct"/>
          </w:tcPr>
          <w:p w14:paraId="0343D8C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Qualitative assessment by the stakeholders on the extent to which the relevant provisions of the Directive are effective in each Member State </w:t>
            </w:r>
          </w:p>
        </w:tc>
        <w:tc>
          <w:tcPr>
            <w:tcW w:w="1393" w:type="pct"/>
            <w:vMerge w:val="restart"/>
          </w:tcPr>
          <w:p w14:paraId="5CDEF68B" w14:textId="77777777" w:rsidR="00C87C82" w:rsidRPr="00575CC5" w:rsidRDefault="00C87C82" w:rsidP="00C87C82">
            <w:pPr>
              <w:pStyle w:val="ListParagraph"/>
              <w:numPr>
                <w:ilvl w:val="0"/>
                <w:numId w:val="33"/>
              </w:numPr>
              <w:spacing w:after="0"/>
              <w:ind w:left="357" w:hanging="357"/>
              <w:jc w:val="left"/>
              <w:rPr>
                <w:rFonts w:eastAsia="MingLiU"/>
                <w:noProof/>
                <w:sz w:val="18"/>
                <w:szCs w:val="18"/>
              </w:rPr>
            </w:pPr>
            <w:r w:rsidRPr="00575CC5">
              <w:rPr>
                <w:rFonts w:eastAsia="MingLiU"/>
                <w:noProof/>
                <w:sz w:val="18"/>
                <w:szCs w:val="18"/>
              </w:rPr>
              <w:t>Surveys targeted at national judicial authorities in EU Member States</w:t>
            </w:r>
          </w:p>
          <w:p w14:paraId="70A5268F" w14:textId="77777777" w:rsidR="00C87C82" w:rsidRPr="00575CC5" w:rsidRDefault="00C87C82" w:rsidP="00C87C82">
            <w:pPr>
              <w:pStyle w:val="ListParagraph"/>
              <w:numPr>
                <w:ilvl w:val="0"/>
                <w:numId w:val="33"/>
              </w:numPr>
              <w:spacing w:after="0"/>
              <w:ind w:left="357" w:hanging="357"/>
              <w:jc w:val="left"/>
              <w:rPr>
                <w:rFonts w:eastAsia="MingLiU"/>
                <w:noProof/>
                <w:sz w:val="18"/>
                <w:szCs w:val="18"/>
              </w:rPr>
            </w:pPr>
            <w:r w:rsidRPr="00575CC5">
              <w:rPr>
                <w:rFonts w:eastAsia="MingLiU"/>
                <w:noProof/>
                <w:sz w:val="18"/>
                <w:szCs w:val="18"/>
              </w:rPr>
              <w:t>Surveys targeted at national law enforcement authorities in EU Member States</w:t>
            </w:r>
          </w:p>
          <w:p w14:paraId="0AC53AA8" w14:textId="77777777" w:rsidR="00C87C82" w:rsidRPr="00575CC5" w:rsidRDefault="00C87C82" w:rsidP="00C87C82">
            <w:pPr>
              <w:pStyle w:val="ListParagraph"/>
              <w:numPr>
                <w:ilvl w:val="0"/>
                <w:numId w:val="33"/>
              </w:numPr>
              <w:spacing w:after="0"/>
              <w:ind w:left="357" w:hanging="357"/>
              <w:jc w:val="left"/>
              <w:rPr>
                <w:rFonts w:eastAsia="MingLiU"/>
                <w:noProof/>
                <w:sz w:val="18"/>
                <w:szCs w:val="18"/>
              </w:rPr>
            </w:pPr>
            <w:r w:rsidRPr="00575CC5">
              <w:rPr>
                <w:rFonts w:eastAsia="MingLiU"/>
                <w:noProof/>
                <w:sz w:val="18"/>
                <w:szCs w:val="18"/>
              </w:rPr>
              <w:t>Surveys targeted at Financial Intelligence Units in EU Member States</w:t>
            </w:r>
          </w:p>
          <w:p w14:paraId="4B67F880" w14:textId="77777777" w:rsidR="00C87C82" w:rsidRPr="00575CC5" w:rsidRDefault="00C87C82" w:rsidP="00C87C82">
            <w:pPr>
              <w:pStyle w:val="ListParagraph"/>
              <w:numPr>
                <w:ilvl w:val="0"/>
                <w:numId w:val="33"/>
              </w:numPr>
              <w:spacing w:after="0"/>
              <w:ind w:left="357" w:hanging="357"/>
              <w:rPr>
                <w:rFonts w:eastAsia="MingLiU"/>
                <w:noProof/>
                <w:sz w:val="18"/>
                <w:szCs w:val="18"/>
              </w:rPr>
            </w:pPr>
            <w:r w:rsidRPr="00575CC5">
              <w:rPr>
                <w:rFonts w:eastAsia="MingLiU"/>
                <w:noProof/>
                <w:sz w:val="18"/>
                <w:szCs w:val="18"/>
              </w:rPr>
              <w:t>Surveys targeted at Asset Recovery Offices in EU Member States</w:t>
            </w:r>
          </w:p>
          <w:p w14:paraId="6EB52C8D" w14:textId="77777777" w:rsidR="00C87C82" w:rsidRPr="00575CC5" w:rsidRDefault="00C87C82" w:rsidP="00C87C82">
            <w:pPr>
              <w:pStyle w:val="ListParagraph"/>
              <w:numPr>
                <w:ilvl w:val="0"/>
                <w:numId w:val="33"/>
              </w:numPr>
              <w:spacing w:after="0"/>
              <w:ind w:left="357" w:hanging="357"/>
              <w:rPr>
                <w:rFonts w:eastAsia="MingLiU"/>
                <w:noProof/>
                <w:sz w:val="18"/>
                <w:szCs w:val="18"/>
              </w:rPr>
            </w:pPr>
            <w:r w:rsidRPr="00575CC5">
              <w:rPr>
                <w:rFonts w:eastAsia="MingLiU"/>
                <w:noProof/>
                <w:sz w:val="18"/>
                <w:szCs w:val="18"/>
              </w:rPr>
              <w:t>Surveys and interviews targeted at EU bodies (e.g., Europol, Eurojust)</w:t>
            </w:r>
          </w:p>
          <w:p w14:paraId="377B0633" w14:textId="77777777" w:rsidR="00C87C82" w:rsidRPr="00575CC5" w:rsidRDefault="00C87C82" w:rsidP="00C87C82">
            <w:pPr>
              <w:pStyle w:val="ListParagraph"/>
              <w:numPr>
                <w:ilvl w:val="0"/>
                <w:numId w:val="33"/>
              </w:numPr>
              <w:spacing w:after="0"/>
              <w:ind w:left="357" w:hanging="357"/>
              <w:rPr>
                <w:rFonts w:eastAsia="MingLiU"/>
                <w:noProof/>
                <w:sz w:val="18"/>
                <w:szCs w:val="18"/>
              </w:rPr>
            </w:pPr>
            <w:r w:rsidRPr="00575CC5">
              <w:rPr>
                <w:rFonts w:eastAsia="MingLiU"/>
                <w:noProof/>
                <w:sz w:val="18"/>
                <w:szCs w:val="18"/>
              </w:rPr>
              <w:t>Surveys to other stakeholders (e.g., academic and think-tank)</w:t>
            </w:r>
          </w:p>
        </w:tc>
      </w:tr>
      <w:tr w:rsidR="00C87C82" w:rsidRPr="00575CC5" w14:paraId="01A80AEB" w14:textId="77777777">
        <w:trPr>
          <w:trHeight w:val="876"/>
        </w:trPr>
        <w:tc>
          <w:tcPr>
            <w:tcW w:w="903" w:type="pct"/>
            <w:vMerge/>
          </w:tcPr>
          <w:p w14:paraId="5649C638" w14:textId="77777777" w:rsidR="00C87C82" w:rsidRPr="00575CC5" w:rsidRDefault="00C87C82">
            <w:pPr>
              <w:rPr>
                <w:rFonts w:ascii="Times New Roman" w:eastAsia="MingLiU" w:hAnsi="Times New Roman" w:cs="Times New Roman"/>
                <w:noProof/>
                <w:sz w:val="18"/>
                <w:szCs w:val="18"/>
              </w:rPr>
            </w:pPr>
          </w:p>
        </w:tc>
        <w:tc>
          <w:tcPr>
            <w:tcW w:w="1158" w:type="pct"/>
          </w:tcPr>
          <w:p w14:paraId="674641C3"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EQ10.2: To what extent does the level of effectiveness of the relevant provisions differ between each Member State?</w:t>
            </w:r>
          </w:p>
        </w:tc>
        <w:tc>
          <w:tcPr>
            <w:tcW w:w="1546" w:type="pct"/>
          </w:tcPr>
          <w:p w14:paraId="0D55B38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 level of effectiveness of the relevant provisions differs between each Member State</w:t>
            </w:r>
          </w:p>
        </w:tc>
        <w:tc>
          <w:tcPr>
            <w:tcW w:w="1393" w:type="pct"/>
            <w:vMerge/>
          </w:tcPr>
          <w:p w14:paraId="2BD4114A"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2B8A89C8" w14:textId="77777777">
        <w:trPr>
          <w:trHeight w:val="861"/>
        </w:trPr>
        <w:tc>
          <w:tcPr>
            <w:tcW w:w="903" w:type="pct"/>
            <w:vMerge/>
          </w:tcPr>
          <w:p w14:paraId="26B79457" w14:textId="77777777" w:rsidR="00C87C82" w:rsidRPr="00575CC5" w:rsidRDefault="00C87C82">
            <w:pPr>
              <w:rPr>
                <w:rFonts w:ascii="Times New Roman" w:eastAsia="MingLiU" w:hAnsi="Times New Roman" w:cs="Times New Roman"/>
                <w:noProof/>
                <w:sz w:val="18"/>
                <w:szCs w:val="18"/>
              </w:rPr>
            </w:pPr>
          </w:p>
        </w:tc>
        <w:tc>
          <w:tcPr>
            <w:tcW w:w="1158" w:type="pct"/>
          </w:tcPr>
          <w:p w14:paraId="6BC2A592"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EQ10.3: What are the reasons for the differences in effectiveness between Member States?</w:t>
            </w:r>
          </w:p>
        </w:tc>
        <w:tc>
          <w:tcPr>
            <w:tcW w:w="1546" w:type="pct"/>
          </w:tcPr>
          <w:p w14:paraId="2556C0D3"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Qualitative assessment by the stakeholders on the reasons for the differences in the effectiveness between the Member States </w:t>
            </w:r>
          </w:p>
        </w:tc>
        <w:tc>
          <w:tcPr>
            <w:tcW w:w="1393" w:type="pct"/>
            <w:vMerge/>
          </w:tcPr>
          <w:p w14:paraId="0C301461"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6B600162" w14:textId="77777777">
        <w:trPr>
          <w:trHeight w:val="861"/>
        </w:trPr>
        <w:tc>
          <w:tcPr>
            <w:tcW w:w="903" w:type="pct"/>
            <w:vMerge/>
          </w:tcPr>
          <w:p w14:paraId="7CD48E80" w14:textId="77777777" w:rsidR="00C87C82" w:rsidRPr="00575CC5" w:rsidRDefault="00C87C82">
            <w:pPr>
              <w:rPr>
                <w:rFonts w:ascii="Times New Roman" w:eastAsia="MingLiU" w:hAnsi="Times New Roman" w:cs="Times New Roman"/>
                <w:noProof/>
                <w:sz w:val="18"/>
                <w:szCs w:val="18"/>
              </w:rPr>
            </w:pPr>
          </w:p>
        </w:tc>
        <w:tc>
          <w:tcPr>
            <w:tcW w:w="1158" w:type="pct"/>
          </w:tcPr>
          <w:p w14:paraId="016BC455"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EQ10.4: How can the Directive be further improved to increase the level of effectiveness across the EU?</w:t>
            </w:r>
          </w:p>
        </w:tc>
        <w:tc>
          <w:tcPr>
            <w:tcW w:w="1546" w:type="pct"/>
          </w:tcPr>
          <w:p w14:paraId="1E579FD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ways the Directive can be further improved to increase the level of effectiveness across the EU</w:t>
            </w:r>
          </w:p>
        </w:tc>
        <w:tc>
          <w:tcPr>
            <w:tcW w:w="1393" w:type="pct"/>
            <w:vMerge/>
          </w:tcPr>
          <w:p w14:paraId="229C907E" w14:textId="77777777" w:rsidR="00C87C82" w:rsidRPr="00575CC5" w:rsidRDefault="00C87C82" w:rsidP="00C87C82">
            <w:pPr>
              <w:pStyle w:val="ListParagraph"/>
              <w:numPr>
                <w:ilvl w:val="0"/>
                <w:numId w:val="33"/>
              </w:numPr>
              <w:spacing w:after="0"/>
              <w:jc w:val="left"/>
              <w:rPr>
                <w:rFonts w:eastAsia="MingLiU"/>
                <w:noProof/>
                <w:sz w:val="18"/>
                <w:szCs w:val="18"/>
              </w:rPr>
            </w:pPr>
          </w:p>
        </w:tc>
      </w:tr>
    </w:tbl>
    <w:p w14:paraId="5D21F95C" w14:textId="77777777" w:rsidR="00C87C82" w:rsidRPr="00575CC5" w:rsidRDefault="00C87C82" w:rsidP="00C87C82">
      <w:pPr>
        <w:spacing w:after="0"/>
        <w:rPr>
          <w:rFonts w:ascii="Times New Roman" w:hAnsi="Times New Roman" w:cs="Times New Roman"/>
          <w:b/>
          <w:bCs/>
          <w:i/>
          <w:iCs/>
          <w:noProof/>
          <w:lang w:val="en-IE"/>
        </w:rPr>
      </w:pPr>
    </w:p>
    <w:tbl>
      <w:tblPr>
        <w:tblStyle w:val="Deloittetable4"/>
        <w:tblW w:w="51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1"/>
        <w:gridCol w:w="2093"/>
        <w:gridCol w:w="2794"/>
        <w:gridCol w:w="2517"/>
      </w:tblGrid>
      <w:tr w:rsidR="00C87C82" w:rsidRPr="00575CC5" w14:paraId="38F4B12E" w14:textId="77777777">
        <w:trPr>
          <w:trHeight w:val="20"/>
          <w:tblHeader/>
        </w:trPr>
        <w:tc>
          <w:tcPr>
            <w:tcW w:w="903" w:type="pct"/>
            <w:shd w:val="clear" w:color="auto" w:fill="F2F2F2" w:themeFill="background1" w:themeFillShade="F2"/>
          </w:tcPr>
          <w:p w14:paraId="7B681E1A"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58" w:type="pct"/>
            <w:shd w:val="clear" w:color="auto" w:fill="F2F2F2" w:themeFill="background1" w:themeFillShade="F2"/>
          </w:tcPr>
          <w:p w14:paraId="6457C9EC" w14:textId="0C0942E3"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16EA53F4"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3" w:type="pct"/>
            <w:shd w:val="clear" w:color="auto" w:fill="F2F2F2" w:themeFill="background1" w:themeFillShade="F2"/>
          </w:tcPr>
          <w:p w14:paraId="36A37CBA"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4BD562D6" w14:textId="77777777">
        <w:trPr>
          <w:trHeight w:val="20"/>
        </w:trPr>
        <w:tc>
          <w:tcPr>
            <w:tcW w:w="5000" w:type="pct"/>
            <w:gridSpan w:val="4"/>
            <w:shd w:val="clear" w:color="auto" w:fill="EAF1DD" w:themeFill="accent3" w:themeFillTint="33"/>
          </w:tcPr>
          <w:p w14:paraId="1E3E01BD" w14:textId="77777777" w:rsidR="00C87C82" w:rsidRPr="00575CC5" w:rsidRDefault="00C87C82">
            <w:pPr>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Effectiveness</w:t>
            </w:r>
          </w:p>
        </w:tc>
      </w:tr>
      <w:tr w:rsidR="00C87C82" w:rsidRPr="00575CC5" w14:paraId="50A494E7" w14:textId="77777777">
        <w:trPr>
          <w:trHeight w:val="1444"/>
        </w:trPr>
        <w:tc>
          <w:tcPr>
            <w:tcW w:w="903" w:type="pct"/>
            <w:vMerge w:val="restart"/>
          </w:tcPr>
          <w:p w14:paraId="543D87E7"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EQ11: Are there any shortcomings in the implementation or regulatory gaps in the Directive that hinder the effective combating of money laundering from a criminal justice perspective?</w:t>
            </w:r>
          </w:p>
        </w:tc>
        <w:tc>
          <w:tcPr>
            <w:tcW w:w="1158" w:type="pct"/>
          </w:tcPr>
          <w:p w14:paraId="579392CA"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EQ11.1: To what extent are there any operational or technical shortcomings in the implementation of the Directive that hinder the effective combating of money laundering from a criminal justice perspective?</w:t>
            </w:r>
          </w:p>
        </w:tc>
        <w:tc>
          <w:tcPr>
            <w:tcW w:w="1546" w:type="pct"/>
          </w:tcPr>
          <w:p w14:paraId="5373427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presence of any operational or technical shortcomings in the implementation of the Directive that hinder the effective combating of money laundering from a criminal justice perspective Number of shortcomings in the implementation of the Directive</w:t>
            </w:r>
          </w:p>
        </w:tc>
        <w:tc>
          <w:tcPr>
            <w:tcW w:w="1393" w:type="pct"/>
            <w:vMerge w:val="restart"/>
          </w:tcPr>
          <w:p w14:paraId="07C9F5C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EU agencies and bodies</w:t>
            </w:r>
          </w:p>
          <w:p w14:paraId="69E764C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6D12260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6C4A689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7D9B0E3E"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407E52F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academics and think-tanks</w:t>
            </w:r>
          </w:p>
          <w:p w14:paraId="4940A91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Desk research </w:t>
            </w:r>
          </w:p>
        </w:tc>
      </w:tr>
      <w:tr w:rsidR="00C87C82" w:rsidRPr="00575CC5" w14:paraId="52F7F8F7" w14:textId="77777777">
        <w:trPr>
          <w:trHeight w:val="850"/>
        </w:trPr>
        <w:tc>
          <w:tcPr>
            <w:tcW w:w="903" w:type="pct"/>
            <w:vMerge/>
          </w:tcPr>
          <w:p w14:paraId="54F133D0" w14:textId="77777777" w:rsidR="00C87C82" w:rsidRPr="00575CC5" w:rsidRDefault="00C87C82">
            <w:pPr>
              <w:rPr>
                <w:rFonts w:ascii="Times New Roman" w:eastAsia="MingLiU" w:hAnsi="Times New Roman" w:cs="Times New Roman"/>
                <w:noProof/>
                <w:sz w:val="18"/>
                <w:szCs w:val="18"/>
              </w:rPr>
            </w:pPr>
          </w:p>
        </w:tc>
        <w:tc>
          <w:tcPr>
            <w:tcW w:w="1158" w:type="pct"/>
          </w:tcPr>
          <w:p w14:paraId="445DA0DB"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EQ11.2: To what extent are there any regulatory gaps in the Directive that hinder the effective combating of money laundering from a criminal justice perspective?</w:t>
            </w:r>
          </w:p>
        </w:tc>
        <w:tc>
          <w:tcPr>
            <w:tcW w:w="1546" w:type="pct"/>
          </w:tcPr>
          <w:p w14:paraId="56F0D9C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by the stakeholders on the extent to which there are regulatory gaps in the Directive that hinder the effective combating of money laundering from a criminal justice perspective</w:t>
            </w:r>
          </w:p>
        </w:tc>
        <w:tc>
          <w:tcPr>
            <w:tcW w:w="1393" w:type="pct"/>
            <w:vMerge/>
          </w:tcPr>
          <w:p w14:paraId="70DFC0E5"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65A15BA9" w14:textId="77777777">
        <w:trPr>
          <w:trHeight w:val="425"/>
        </w:trPr>
        <w:tc>
          <w:tcPr>
            <w:tcW w:w="903" w:type="pct"/>
            <w:vMerge/>
          </w:tcPr>
          <w:p w14:paraId="0E170B9A" w14:textId="77777777" w:rsidR="00C87C82" w:rsidRPr="00575CC5" w:rsidRDefault="00C87C82">
            <w:pPr>
              <w:rPr>
                <w:rFonts w:ascii="Times New Roman" w:hAnsi="Times New Roman" w:cs="Times New Roman"/>
                <w:noProof/>
              </w:rPr>
            </w:pPr>
          </w:p>
        </w:tc>
        <w:tc>
          <w:tcPr>
            <w:tcW w:w="1158" w:type="pct"/>
          </w:tcPr>
          <w:p w14:paraId="2524CDB1"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EQ11.3: To what extent and in what ways do any shortcomings in the implementation of the Directive and regulatory gaps impact reaching convictions for money laundering?</w:t>
            </w:r>
          </w:p>
        </w:tc>
        <w:tc>
          <w:tcPr>
            <w:tcW w:w="1546" w:type="pct"/>
          </w:tcPr>
          <w:p w14:paraId="0FF3C25D"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Qualitative assessment by the stakeholders on the extent to which any shortcomings in the implementation of the Directive and regulatory gaps impact reaching convictions for money-laundering</w:t>
            </w:r>
          </w:p>
          <w:p w14:paraId="15743311" w14:textId="77777777" w:rsidR="00C87C82" w:rsidRPr="00575CC5" w:rsidRDefault="00C87C82" w:rsidP="00C87C82">
            <w:pPr>
              <w:pStyle w:val="ListParagraph"/>
              <w:numPr>
                <w:ilvl w:val="0"/>
                <w:numId w:val="39"/>
              </w:numPr>
              <w:spacing w:after="120"/>
              <w:ind w:left="357" w:hanging="357"/>
              <w:jc w:val="left"/>
              <w:rPr>
                <w:noProof/>
                <w:sz w:val="18"/>
                <w:szCs w:val="18"/>
              </w:rPr>
            </w:pPr>
            <w:r w:rsidRPr="00575CC5">
              <w:rPr>
                <w:noProof/>
                <w:sz w:val="18"/>
                <w:szCs w:val="18"/>
              </w:rPr>
              <w:t>Qualitative assessment by the stakeholders on the ways in which any shortcomings in the implementation of the Directive and regulatory gaps impact reaching convictions for money laundering</w:t>
            </w:r>
          </w:p>
        </w:tc>
        <w:tc>
          <w:tcPr>
            <w:tcW w:w="1393" w:type="pct"/>
            <w:vMerge/>
          </w:tcPr>
          <w:p w14:paraId="25D7DF61" w14:textId="77777777" w:rsidR="00C87C82" w:rsidRPr="00575CC5" w:rsidRDefault="00C87C82">
            <w:pPr>
              <w:rPr>
                <w:rFonts w:ascii="Times New Roman" w:hAnsi="Times New Roman" w:cs="Times New Roman"/>
                <w:noProof/>
              </w:rPr>
            </w:pPr>
          </w:p>
        </w:tc>
      </w:tr>
      <w:tr w:rsidR="00C87C82" w:rsidRPr="00575CC5" w14:paraId="7D5F852C" w14:textId="77777777">
        <w:trPr>
          <w:trHeight w:val="425"/>
        </w:trPr>
        <w:tc>
          <w:tcPr>
            <w:tcW w:w="903" w:type="pct"/>
            <w:vMerge/>
          </w:tcPr>
          <w:p w14:paraId="7A4650E9" w14:textId="77777777" w:rsidR="00C87C82" w:rsidRPr="00575CC5" w:rsidRDefault="00C87C82">
            <w:pPr>
              <w:rPr>
                <w:rFonts w:ascii="Times New Roman" w:hAnsi="Times New Roman" w:cs="Times New Roman"/>
                <w:noProof/>
              </w:rPr>
            </w:pPr>
          </w:p>
        </w:tc>
        <w:tc>
          <w:tcPr>
            <w:tcW w:w="1158" w:type="pct"/>
          </w:tcPr>
          <w:p w14:paraId="769AF7C6"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EQ11.4: To what extent do differences in the implementation of money laundering offences in the national law of the Member States create dual criminality issues that impact the overall effectiveness of the Directive? </w:t>
            </w:r>
          </w:p>
        </w:tc>
        <w:tc>
          <w:tcPr>
            <w:tcW w:w="1546" w:type="pct"/>
          </w:tcPr>
          <w:p w14:paraId="32204DF5"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Qualitative assessment by the stakeholders on extent to which any issues related to dual criminality of money laundering impact the effective implementation of the Directive</w:t>
            </w:r>
          </w:p>
        </w:tc>
        <w:tc>
          <w:tcPr>
            <w:tcW w:w="1393" w:type="pct"/>
            <w:vMerge/>
          </w:tcPr>
          <w:p w14:paraId="1C5B808E" w14:textId="77777777" w:rsidR="00C87C82" w:rsidRPr="00575CC5" w:rsidRDefault="00C87C82">
            <w:pPr>
              <w:rPr>
                <w:rFonts w:ascii="Times New Roman" w:hAnsi="Times New Roman" w:cs="Times New Roman"/>
                <w:noProof/>
              </w:rPr>
            </w:pPr>
          </w:p>
        </w:tc>
      </w:tr>
      <w:tr w:rsidR="00C87C82" w:rsidRPr="00575CC5" w14:paraId="733A3B63" w14:textId="77777777">
        <w:trPr>
          <w:trHeight w:val="1626"/>
        </w:trPr>
        <w:tc>
          <w:tcPr>
            <w:tcW w:w="903" w:type="pct"/>
            <w:vMerge/>
          </w:tcPr>
          <w:p w14:paraId="5484F506" w14:textId="77777777" w:rsidR="00C87C82" w:rsidRPr="00575CC5" w:rsidRDefault="00C87C82">
            <w:pPr>
              <w:rPr>
                <w:rFonts w:ascii="Times New Roman" w:hAnsi="Times New Roman" w:cs="Times New Roman"/>
                <w:noProof/>
              </w:rPr>
            </w:pPr>
          </w:p>
        </w:tc>
        <w:tc>
          <w:tcPr>
            <w:tcW w:w="1158" w:type="pct"/>
          </w:tcPr>
          <w:p w14:paraId="0BB8D3C1"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EQ11.5: To what extent do differences in the national law of the Member States between money laundering, tax fraud and tax evasion impose limitations on the effective investigation, prosecution and conviction of money laundering?</w:t>
            </w:r>
          </w:p>
        </w:tc>
        <w:tc>
          <w:tcPr>
            <w:tcW w:w="1546" w:type="pct"/>
          </w:tcPr>
          <w:p w14:paraId="4CA04E28"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 xml:space="preserve">Qualitative assessment by the stakeholders on the extent to which the differences in the national law of the Member States between money laundering, tax fraud and tax evasion (if any) impact the effective </w:t>
            </w:r>
            <w:r w:rsidRPr="00575CC5">
              <w:rPr>
                <w:rFonts w:eastAsia="MingLiU"/>
                <w:noProof/>
                <w:sz w:val="18"/>
                <w:szCs w:val="18"/>
              </w:rPr>
              <w:t>investigation, prosecution and conviction of money laundering</w:t>
            </w:r>
          </w:p>
        </w:tc>
        <w:tc>
          <w:tcPr>
            <w:tcW w:w="1393" w:type="pct"/>
            <w:vMerge/>
          </w:tcPr>
          <w:p w14:paraId="3CE33377" w14:textId="77777777" w:rsidR="00C87C82" w:rsidRPr="00575CC5" w:rsidRDefault="00C87C82">
            <w:pPr>
              <w:rPr>
                <w:rFonts w:ascii="Times New Roman" w:hAnsi="Times New Roman" w:cs="Times New Roman"/>
                <w:noProof/>
              </w:rPr>
            </w:pPr>
          </w:p>
        </w:tc>
      </w:tr>
      <w:tr w:rsidR="00C87C82" w:rsidRPr="00575CC5" w14:paraId="33DA1A3B" w14:textId="77777777">
        <w:trPr>
          <w:trHeight w:val="425"/>
        </w:trPr>
        <w:tc>
          <w:tcPr>
            <w:tcW w:w="903" w:type="pct"/>
            <w:vMerge/>
          </w:tcPr>
          <w:p w14:paraId="1C053908" w14:textId="77777777" w:rsidR="00C87C82" w:rsidRPr="00575CC5" w:rsidRDefault="00C87C82">
            <w:pPr>
              <w:rPr>
                <w:rFonts w:ascii="Times New Roman" w:hAnsi="Times New Roman" w:cs="Times New Roman"/>
                <w:noProof/>
              </w:rPr>
            </w:pPr>
          </w:p>
        </w:tc>
        <w:tc>
          <w:tcPr>
            <w:tcW w:w="1158" w:type="pct"/>
          </w:tcPr>
          <w:p w14:paraId="0F69A952"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EQ11.6: How can the Directive be further improved to address any other shortcomings in its implementation in order to optimise its effectiveness?</w:t>
            </w:r>
            <w:r w:rsidRPr="00575CC5">
              <w:rPr>
                <w:rFonts w:ascii="Times New Roman" w:hAnsi="Times New Roman" w:cs="Times New Roman"/>
                <w:noProof/>
                <w:lang w:val="en-IE"/>
              </w:rPr>
              <w:t xml:space="preserve"> </w:t>
            </w:r>
          </w:p>
        </w:tc>
        <w:tc>
          <w:tcPr>
            <w:tcW w:w="1546" w:type="pct"/>
          </w:tcPr>
          <w:p w14:paraId="63917838"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Qualitative assessment by the stakeholders on how to further improve the Directive to address any shortcomings in its implementation</w:t>
            </w:r>
          </w:p>
        </w:tc>
        <w:tc>
          <w:tcPr>
            <w:tcW w:w="1393" w:type="pct"/>
            <w:vMerge/>
          </w:tcPr>
          <w:p w14:paraId="5EBDD67B" w14:textId="77777777" w:rsidR="00C87C82" w:rsidRPr="00575CC5" w:rsidRDefault="00C87C82">
            <w:pPr>
              <w:rPr>
                <w:rFonts w:ascii="Times New Roman" w:hAnsi="Times New Roman" w:cs="Times New Roman"/>
                <w:noProof/>
              </w:rPr>
            </w:pPr>
          </w:p>
        </w:tc>
      </w:tr>
    </w:tbl>
    <w:p w14:paraId="512D1257" w14:textId="77777777" w:rsidR="00C87C82" w:rsidRPr="00575CC5" w:rsidRDefault="00C87C82" w:rsidP="00C87C82">
      <w:pPr>
        <w:spacing w:after="0"/>
        <w:jc w:val="both"/>
        <w:rPr>
          <w:rFonts w:ascii="Times New Roman" w:hAnsi="Times New Roman" w:cs="Times New Roman"/>
          <w:b/>
          <w:bCs/>
          <w:i/>
          <w:iCs/>
          <w:noProof/>
          <w:sz w:val="24"/>
          <w:szCs w:val="24"/>
          <w:lang w:val="en-IE"/>
        </w:rPr>
      </w:pPr>
    </w:p>
    <w:p w14:paraId="4B19B360" w14:textId="6F305E1E" w:rsidR="00E0650C" w:rsidRPr="00575CC5" w:rsidRDefault="00C87C82" w:rsidP="00C87C82">
      <w:pPr>
        <w:pStyle w:val="Heading2"/>
        <w:numPr>
          <w:ilvl w:val="0"/>
          <w:numId w:val="28"/>
        </w:numPr>
        <w:rPr>
          <w:noProof/>
        </w:rPr>
      </w:pPr>
      <w:bookmarkStart w:id="88" w:name="_Toc218852111"/>
      <w:bookmarkStart w:id="89" w:name="_Toc223439275"/>
      <w:r w:rsidRPr="00575CC5">
        <w:rPr>
          <w:noProof/>
        </w:rPr>
        <w:t>Efficiency</w:t>
      </w:r>
      <w:bookmarkEnd w:id="88"/>
      <w:bookmarkEnd w:id="89"/>
    </w:p>
    <w:p w14:paraId="2A896C18" w14:textId="0CBA3302" w:rsidR="00C87C82" w:rsidRPr="00575CC5" w:rsidRDefault="00C87C82" w:rsidP="00172619">
      <w:pPr>
        <w:jc w:val="both"/>
        <w:rPr>
          <w:rFonts w:ascii="Times New Roman" w:hAnsi="Times New Roman" w:cs="Times New Roman"/>
          <w:noProof/>
          <w:sz w:val="24"/>
          <w:szCs w:val="24"/>
          <w:lang w:val="en-IE"/>
        </w:rPr>
      </w:pPr>
      <w:r w:rsidRPr="00575CC5">
        <w:rPr>
          <w:rFonts w:ascii="Times New Roman" w:hAnsi="Times New Roman" w:cs="Times New Roman"/>
          <w:noProof/>
          <w:sz w:val="24"/>
          <w:szCs w:val="24"/>
          <w:lang w:val="en-IE"/>
        </w:rPr>
        <w:t xml:space="preserve">In line with the Better Regulation Guidelines on evaluation, the efficiency criterion aims to assess whether the activities evaluated are delivering their objectives at minimum costs and </w:t>
      </w:r>
      <w:r w:rsidR="009902C8">
        <w:rPr>
          <w:rFonts w:ascii="Times New Roman" w:hAnsi="Times New Roman" w:cs="Times New Roman"/>
          <w:noProof/>
          <w:sz w:val="24"/>
          <w:szCs w:val="24"/>
          <w:lang w:val="en-IE"/>
        </w:rPr>
        <w:t>while</w:t>
      </w:r>
      <w:r w:rsidR="009902C8" w:rsidRPr="00575CC5">
        <w:rPr>
          <w:rFonts w:ascii="Times New Roman" w:hAnsi="Times New Roman" w:cs="Times New Roman"/>
          <w:noProof/>
          <w:sz w:val="24"/>
          <w:szCs w:val="24"/>
          <w:lang w:val="en-IE"/>
        </w:rPr>
        <w:t xml:space="preserve"> </w:t>
      </w:r>
      <w:r w:rsidRPr="00575CC5">
        <w:rPr>
          <w:rFonts w:ascii="Times New Roman" w:hAnsi="Times New Roman" w:cs="Times New Roman"/>
          <w:noProof/>
          <w:sz w:val="24"/>
          <w:szCs w:val="24"/>
          <w:lang w:val="en-IE"/>
        </w:rPr>
        <w:t xml:space="preserve">avoiding unnecessary costs or burdens. This means that the evaluation looks at the relationship between the costs deriving from the implementation of Directive (EU) 2018/1673 and the outcomes and results it has generated in each country and per stakeholder following the transposition. As there are differences between the implementation of activities across the Member States, the project team also looked at how the implementation differs between the countries and whether some approaches are more efficient than other. The analysis of efficiency covered administrative and adjustment costs, aspects of simplification and </w:t>
      </w:r>
      <w:r w:rsidR="009902C8">
        <w:rPr>
          <w:rFonts w:ascii="Times New Roman" w:hAnsi="Times New Roman" w:cs="Times New Roman"/>
          <w:noProof/>
          <w:sz w:val="24"/>
          <w:szCs w:val="24"/>
          <w:lang w:val="en-IE"/>
        </w:rPr>
        <w:t xml:space="preserve">a </w:t>
      </w:r>
      <w:r w:rsidRPr="00575CC5">
        <w:rPr>
          <w:rFonts w:ascii="Times New Roman" w:hAnsi="Times New Roman" w:cs="Times New Roman"/>
          <w:noProof/>
          <w:sz w:val="24"/>
          <w:szCs w:val="24"/>
          <w:lang w:val="en-IE"/>
        </w:rPr>
        <w:t xml:space="preserve">cost-benefit comparison by Member State. </w:t>
      </w: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35"/>
        <w:gridCol w:w="2009"/>
        <w:gridCol w:w="83"/>
        <w:gridCol w:w="2647"/>
        <w:gridCol w:w="147"/>
        <w:gridCol w:w="2318"/>
      </w:tblGrid>
      <w:tr w:rsidR="00C87C82" w:rsidRPr="00575CC5" w14:paraId="3F25838B" w14:textId="77777777">
        <w:trPr>
          <w:trHeight w:val="20"/>
          <w:tblHeader/>
        </w:trPr>
        <w:tc>
          <w:tcPr>
            <w:tcW w:w="923" w:type="pct"/>
            <w:gridSpan w:val="2"/>
            <w:shd w:val="clear" w:color="auto" w:fill="F2F2F2" w:themeFill="background1" w:themeFillShade="F2"/>
          </w:tcPr>
          <w:p w14:paraId="2C66F287"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84" w:type="pct"/>
            <w:gridSpan w:val="2"/>
            <w:shd w:val="clear" w:color="auto" w:fill="F2F2F2" w:themeFill="background1" w:themeFillShade="F2"/>
          </w:tcPr>
          <w:p w14:paraId="0472F226" w14:textId="2794966C"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81" w:type="pct"/>
            <w:gridSpan w:val="2"/>
            <w:shd w:val="clear" w:color="auto" w:fill="F2F2F2" w:themeFill="background1" w:themeFillShade="F2"/>
          </w:tcPr>
          <w:p w14:paraId="48C04BC2"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11" w:type="pct"/>
            <w:shd w:val="clear" w:color="auto" w:fill="F2F2F2" w:themeFill="background1" w:themeFillShade="F2"/>
          </w:tcPr>
          <w:p w14:paraId="142734E9"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7AB37622" w14:textId="77777777">
        <w:trPr>
          <w:trHeight w:val="25"/>
        </w:trPr>
        <w:tc>
          <w:tcPr>
            <w:tcW w:w="5000" w:type="pct"/>
            <w:gridSpan w:val="7"/>
            <w:shd w:val="clear" w:color="auto" w:fill="EAF1DD" w:themeFill="accent3" w:themeFillTint="33"/>
          </w:tcPr>
          <w:p w14:paraId="1D344E7B" w14:textId="77777777" w:rsidR="00C87C82" w:rsidRPr="00575CC5" w:rsidRDefault="00C87C82">
            <w:pPr>
              <w:rPr>
                <w:rFonts w:ascii="Times New Roman" w:eastAsia="MingLiU" w:hAnsi="Times New Roman" w:cs="Times New Roman"/>
                <w:i/>
                <w:iCs/>
                <w:noProof/>
                <w:sz w:val="18"/>
                <w:szCs w:val="18"/>
                <w:lang w:val="fr-BE"/>
              </w:rPr>
            </w:pPr>
            <w:r w:rsidRPr="00575CC5">
              <w:rPr>
                <w:rFonts w:ascii="Times New Roman" w:eastAsia="MingLiU" w:hAnsi="Times New Roman" w:cs="Times New Roman"/>
                <w:b/>
                <w:bCs/>
                <w:i/>
                <w:iCs/>
                <w:noProof/>
                <w:sz w:val="18"/>
                <w:szCs w:val="18"/>
                <w:lang w:val="fr-BE"/>
              </w:rPr>
              <w:t xml:space="preserve">Efficiency </w:t>
            </w:r>
          </w:p>
        </w:tc>
      </w:tr>
      <w:tr w:rsidR="00C87C82" w:rsidRPr="00575CC5" w14:paraId="2448FA99" w14:textId="77777777">
        <w:trPr>
          <w:trHeight w:val="970"/>
        </w:trPr>
        <w:tc>
          <w:tcPr>
            <w:tcW w:w="903" w:type="pct"/>
            <w:vMerge w:val="restart"/>
          </w:tcPr>
          <w:p w14:paraId="51C7F20F"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EQ13: What are the implementation costs and the benefits of the Directive – in the individual Member States and overall? Are there differences between Member States and what causes them? What are the administrative costs and benefits of the Directive for citizens and businesses?</w:t>
            </w:r>
          </w:p>
        </w:tc>
        <w:tc>
          <w:tcPr>
            <w:tcW w:w="1157" w:type="pct"/>
            <w:gridSpan w:val="2"/>
          </w:tcPr>
          <w:p w14:paraId="7E9DFF17"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EQ13.1: What are the implementation costs (including costs for citizens and businesses) of the Directive for each Member State and overall?</w:t>
            </w:r>
          </w:p>
        </w:tc>
        <w:tc>
          <w:tcPr>
            <w:tcW w:w="1545" w:type="pct"/>
            <w:gridSpan w:val="2"/>
          </w:tcPr>
          <w:p w14:paraId="0E5006C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Estimation by stakeholders on the costs expressed in monetary value of the implementation of the Directive per Member State and overall</w:t>
            </w:r>
          </w:p>
        </w:tc>
        <w:tc>
          <w:tcPr>
            <w:tcW w:w="1395" w:type="pct"/>
            <w:gridSpan w:val="2"/>
            <w:vMerge w:val="restart"/>
          </w:tcPr>
          <w:p w14:paraId="2F219A4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3727506F"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7A457B3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5695562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3A17209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other stakeholders</w:t>
            </w:r>
          </w:p>
        </w:tc>
      </w:tr>
      <w:tr w:rsidR="00C87C82" w:rsidRPr="00575CC5" w14:paraId="50A27C87" w14:textId="77777777">
        <w:trPr>
          <w:trHeight w:val="970"/>
        </w:trPr>
        <w:tc>
          <w:tcPr>
            <w:tcW w:w="903" w:type="pct"/>
            <w:vMerge/>
          </w:tcPr>
          <w:p w14:paraId="1EC28199"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26F27F09"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EQ13.2: What are the causes of the differences in the implementation costs between Member States?</w:t>
            </w:r>
          </w:p>
        </w:tc>
        <w:tc>
          <w:tcPr>
            <w:tcW w:w="1545" w:type="pct"/>
            <w:gridSpan w:val="2"/>
          </w:tcPr>
          <w:p w14:paraId="40003571"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on the causes of the differences in the implementation cost between Member States</w:t>
            </w:r>
          </w:p>
        </w:tc>
        <w:tc>
          <w:tcPr>
            <w:tcW w:w="1395" w:type="pct"/>
            <w:gridSpan w:val="2"/>
            <w:vMerge/>
          </w:tcPr>
          <w:p w14:paraId="630EFA3A"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67D75F3A" w14:textId="77777777">
        <w:trPr>
          <w:trHeight w:val="417"/>
        </w:trPr>
        <w:tc>
          <w:tcPr>
            <w:tcW w:w="903" w:type="pct"/>
            <w:vMerge/>
          </w:tcPr>
          <w:p w14:paraId="049031BF"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2AD112AD"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EQ13.3: What are the benefits (including benefits for citizens and businesses) of implementing the Directive for each Member State and overall?</w:t>
            </w:r>
          </w:p>
        </w:tc>
        <w:tc>
          <w:tcPr>
            <w:tcW w:w="1545" w:type="pct"/>
            <w:gridSpan w:val="2"/>
          </w:tcPr>
          <w:p w14:paraId="31C649B8" w14:textId="77777777" w:rsidR="00C87C82" w:rsidRPr="00575CC5" w:rsidRDefault="00C87C82" w:rsidP="00C87C82">
            <w:pPr>
              <w:pStyle w:val="ListParagraph"/>
              <w:numPr>
                <w:ilvl w:val="0"/>
                <w:numId w:val="40"/>
              </w:numPr>
              <w:spacing w:after="0"/>
              <w:jc w:val="left"/>
              <w:rPr>
                <w:rFonts w:eastAsia="MingLiU"/>
                <w:noProof/>
                <w:sz w:val="18"/>
                <w:szCs w:val="18"/>
              </w:rPr>
            </w:pPr>
            <w:r w:rsidRPr="00575CC5">
              <w:rPr>
                <w:rFonts w:eastAsia="MingLiU"/>
                <w:noProof/>
                <w:sz w:val="18"/>
                <w:szCs w:val="18"/>
              </w:rPr>
              <w:t>Qualitative assessment by the stakeholders on the benefits expressed in monetary value of the implementation of the Directive per Member State and overall</w:t>
            </w:r>
          </w:p>
        </w:tc>
        <w:tc>
          <w:tcPr>
            <w:tcW w:w="1395" w:type="pct"/>
            <w:gridSpan w:val="2"/>
            <w:vMerge/>
          </w:tcPr>
          <w:p w14:paraId="1F06EDA4"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656949FE" w14:textId="77777777">
        <w:trPr>
          <w:trHeight w:val="970"/>
        </w:trPr>
        <w:tc>
          <w:tcPr>
            <w:tcW w:w="903" w:type="pct"/>
            <w:vMerge/>
          </w:tcPr>
          <w:p w14:paraId="4C6D2C2E"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1344C112"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EQ13.4: What are the causes of the benefits of the implementation of the Directive between Member States?</w:t>
            </w:r>
          </w:p>
        </w:tc>
        <w:tc>
          <w:tcPr>
            <w:tcW w:w="1545" w:type="pct"/>
            <w:gridSpan w:val="2"/>
          </w:tcPr>
          <w:p w14:paraId="4FAF99A4"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on the causes of the benefits in the implementation cost between Member States</w:t>
            </w:r>
          </w:p>
        </w:tc>
        <w:tc>
          <w:tcPr>
            <w:tcW w:w="1395" w:type="pct"/>
            <w:gridSpan w:val="2"/>
            <w:vMerge/>
          </w:tcPr>
          <w:p w14:paraId="1EA61B12"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bl>
    <w:p w14:paraId="134887EB" w14:textId="77777777" w:rsidR="00C87C82" w:rsidRPr="00575CC5" w:rsidRDefault="00C87C82" w:rsidP="00C87C82">
      <w:pPr>
        <w:spacing w:after="0"/>
        <w:jc w:val="both"/>
        <w:rPr>
          <w:rFonts w:ascii="Times New Roman" w:hAnsi="Times New Roman" w:cs="Times New Roman"/>
          <w:noProof/>
          <w:sz w:val="24"/>
          <w:szCs w:val="24"/>
          <w:lang w:val="en-IE"/>
        </w:rPr>
      </w:pP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35"/>
        <w:gridCol w:w="2009"/>
        <w:gridCol w:w="83"/>
        <w:gridCol w:w="2647"/>
        <w:gridCol w:w="147"/>
        <w:gridCol w:w="2318"/>
      </w:tblGrid>
      <w:tr w:rsidR="00C87C82" w:rsidRPr="00575CC5" w14:paraId="67F2AC62" w14:textId="77777777">
        <w:trPr>
          <w:trHeight w:val="20"/>
          <w:tblHeader/>
        </w:trPr>
        <w:tc>
          <w:tcPr>
            <w:tcW w:w="923" w:type="pct"/>
            <w:gridSpan w:val="2"/>
            <w:shd w:val="clear" w:color="auto" w:fill="F2F2F2" w:themeFill="background1" w:themeFillShade="F2"/>
          </w:tcPr>
          <w:p w14:paraId="6092F266"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84" w:type="pct"/>
            <w:gridSpan w:val="2"/>
            <w:shd w:val="clear" w:color="auto" w:fill="F2F2F2" w:themeFill="background1" w:themeFillShade="F2"/>
          </w:tcPr>
          <w:p w14:paraId="006A1D75" w14:textId="0A5B7BD6"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81" w:type="pct"/>
            <w:gridSpan w:val="2"/>
            <w:shd w:val="clear" w:color="auto" w:fill="F2F2F2" w:themeFill="background1" w:themeFillShade="F2"/>
          </w:tcPr>
          <w:p w14:paraId="01F8C249"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12" w:type="pct"/>
            <w:shd w:val="clear" w:color="auto" w:fill="F2F2F2" w:themeFill="background1" w:themeFillShade="F2"/>
          </w:tcPr>
          <w:p w14:paraId="3F422783"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25B74930" w14:textId="77777777">
        <w:trPr>
          <w:trHeight w:val="25"/>
        </w:trPr>
        <w:tc>
          <w:tcPr>
            <w:tcW w:w="5000" w:type="pct"/>
            <w:gridSpan w:val="7"/>
            <w:shd w:val="clear" w:color="auto" w:fill="EAF1DD" w:themeFill="accent3" w:themeFillTint="33"/>
          </w:tcPr>
          <w:p w14:paraId="63CC0A62" w14:textId="77777777" w:rsidR="00C87C82" w:rsidRPr="00575CC5" w:rsidRDefault="00C87C82">
            <w:pPr>
              <w:rPr>
                <w:rFonts w:ascii="Times New Roman" w:eastAsia="MingLiU" w:hAnsi="Times New Roman" w:cs="Times New Roman"/>
                <w:i/>
                <w:iCs/>
                <w:noProof/>
                <w:sz w:val="18"/>
                <w:szCs w:val="18"/>
                <w:lang w:val="fr-BE"/>
              </w:rPr>
            </w:pPr>
            <w:r w:rsidRPr="00575CC5">
              <w:rPr>
                <w:rFonts w:ascii="Times New Roman" w:eastAsia="MingLiU" w:hAnsi="Times New Roman" w:cs="Times New Roman"/>
                <w:b/>
                <w:bCs/>
                <w:i/>
                <w:iCs/>
                <w:noProof/>
                <w:sz w:val="18"/>
                <w:szCs w:val="18"/>
                <w:lang w:val="fr-BE"/>
              </w:rPr>
              <w:t xml:space="preserve">Efficiency </w:t>
            </w:r>
          </w:p>
        </w:tc>
      </w:tr>
      <w:tr w:rsidR="00C87C82" w:rsidRPr="00575CC5" w14:paraId="6DDC83C3" w14:textId="77777777">
        <w:trPr>
          <w:trHeight w:val="911"/>
        </w:trPr>
        <w:tc>
          <w:tcPr>
            <w:tcW w:w="903" w:type="pct"/>
            <w:vMerge w:val="restart"/>
          </w:tcPr>
          <w:p w14:paraId="037F8C62"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EQ14: Have the results that can be attributed to the Directive been achieved at a reasonable cost? Is the regulatory burden placed on Member States by the implementation of the Directive proportional to the observed results?</w:t>
            </w:r>
          </w:p>
        </w:tc>
        <w:tc>
          <w:tcPr>
            <w:tcW w:w="1157" w:type="pct"/>
            <w:gridSpan w:val="2"/>
          </w:tcPr>
          <w:p w14:paraId="4F394C30"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EQ14.1:  To what extent do the costs associated with the implementation and enforcement of the Directive compare to the achieved outcomes in terms of the prevention and deterrence of money laundering activities within the European Union? </w:t>
            </w:r>
          </w:p>
        </w:tc>
        <w:tc>
          <w:tcPr>
            <w:tcW w:w="1545" w:type="pct"/>
            <w:gridSpan w:val="2"/>
          </w:tcPr>
          <w:p w14:paraId="642CBD4E"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Qualitative assessment, including by stakeholders, on the ratio of costs to benefits per Member State</w:t>
            </w:r>
          </w:p>
          <w:p w14:paraId="23673A7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Number of FTEs per Member State competent authorities needed to implement the Directive</w:t>
            </w:r>
          </w:p>
          <w:p w14:paraId="4A39EA7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Financial costs per Member State in relation to the implementation of the Directive</w:t>
            </w:r>
          </w:p>
          <w:p w14:paraId="2AE5139A" w14:textId="72AA88F8"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Qualitative assessment by the stakeholders on the extent to which the costs associated with the implementation and enforcement of the Directive </w:t>
            </w:r>
            <w:r w:rsidR="00032235" w:rsidRPr="00575CC5">
              <w:rPr>
                <w:rFonts w:eastAsia="MingLiU"/>
                <w:noProof/>
                <w:sz w:val="18"/>
                <w:szCs w:val="18"/>
              </w:rPr>
              <w:t>compared</w:t>
            </w:r>
            <w:r w:rsidRPr="00575CC5">
              <w:rPr>
                <w:rFonts w:eastAsia="MingLiU"/>
                <w:noProof/>
                <w:sz w:val="18"/>
                <w:szCs w:val="18"/>
              </w:rPr>
              <w:t xml:space="preserve"> to the achieved outcomes in terms of the prevention and deterrence of money laundering activities within the European Union</w:t>
            </w:r>
          </w:p>
        </w:tc>
        <w:tc>
          <w:tcPr>
            <w:tcW w:w="1395" w:type="pct"/>
            <w:gridSpan w:val="2"/>
            <w:vMerge w:val="restart"/>
          </w:tcPr>
          <w:p w14:paraId="312DC72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443DCC3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11D0BB9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0FB966A0" w14:textId="77777777" w:rsidR="00C87C82" w:rsidRPr="00575CC5" w:rsidRDefault="00C87C82" w:rsidP="00C87C82">
            <w:pPr>
              <w:pStyle w:val="ListParagraph"/>
              <w:numPr>
                <w:ilvl w:val="0"/>
                <w:numId w:val="33"/>
              </w:numPr>
              <w:spacing w:line="280" w:lineRule="atLeast"/>
              <w:jc w:val="left"/>
              <w:rPr>
                <w:rFonts w:eastAsia="MingLiU"/>
                <w:noProof/>
                <w:sz w:val="18"/>
                <w:szCs w:val="18"/>
              </w:rPr>
            </w:pPr>
            <w:r w:rsidRPr="00575CC5">
              <w:rPr>
                <w:rFonts w:eastAsia="MingLiU"/>
                <w:noProof/>
                <w:sz w:val="18"/>
                <w:szCs w:val="18"/>
              </w:rPr>
              <w:t>Surveys targeted at Asset Recovery Offices in EU Member States</w:t>
            </w:r>
          </w:p>
          <w:p w14:paraId="56A2C8A3"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other stakeholders</w:t>
            </w:r>
          </w:p>
          <w:p w14:paraId="3DF7FE1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 at EU bodies and agencies, incl. discovery interviews with DGs</w:t>
            </w:r>
          </w:p>
        </w:tc>
      </w:tr>
      <w:tr w:rsidR="00C87C82" w:rsidRPr="00575CC5" w14:paraId="1846DF68" w14:textId="77777777">
        <w:trPr>
          <w:trHeight w:val="1139"/>
        </w:trPr>
        <w:tc>
          <w:tcPr>
            <w:tcW w:w="903" w:type="pct"/>
            <w:vMerge/>
          </w:tcPr>
          <w:p w14:paraId="3FB7B8E4"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063CCFC9"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EQ14.2:  What specific financial, administrative, and resource-related challenges have Member States encountered during the implementation of the Directive, and to what extent have these challenges impacted the overall efficiency and effectiveness of anti-money laundering measures?</w:t>
            </w:r>
          </w:p>
        </w:tc>
        <w:tc>
          <w:tcPr>
            <w:tcW w:w="1545" w:type="pct"/>
            <w:gridSpan w:val="2"/>
          </w:tcPr>
          <w:p w14:paraId="65FBF409" w14:textId="77777777" w:rsidR="00C87C82" w:rsidRPr="00575CC5" w:rsidRDefault="00C87C82" w:rsidP="00C87C82">
            <w:pPr>
              <w:pStyle w:val="ListParagraph"/>
              <w:numPr>
                <w:ilvl w:val="0"/>
                <w:numId w:val="41"/>
              </w:numPr>
              <w:spacing w:after="0"/>
              <w:jc w:val="left"/>
              <w:rPr>
                <w:rFonts w:eastAsia="MingLiU"/>
                <w:noProof/>
                <w:sz w:val="18"/>
                <w:szCs w:val="18"/>
              </w:rPr>
            </w:pPr>
            <w:r w:rsidRPr="00575CC5">
              <w:rPr>
                <w:rFonts w:eastAsia="MingLiU"/>
                <w:noProof/>
                <w:sz w:val="18"/>
                <w:szCs w:val="18"/>
              </w:rPr>
              <w:t>Qualitative assessment by the stakeholders on the financial, administrative, and resource-related challenges faced by Member States in the implementation of the Directive</w:t>
            </w:r>
          </w:p>
          <w:p w14:paraId="0DCDE8F2" w14:textId="77777777" w:rsidR="00C87C82" w:rsidRPr="00575CC5" w:rsidRDefault="00C87C82" w:rsidP="00C87C82">
            <w:pPr>
              <w:pStyle w:val="ListParagraph"/>
              <w:numPr>
                <w:ilvl w:val="0"/>
                <w:numId w:val="41"/>
              </w:numPr>
              <w:spacing w:after="0"/>
              <w:jc w:val="left"/>
              <w:rPr>
                <w:rFonts w:eastAsia="MingLiU"/>
                <w:noProof/>
                <w:sz w:val="18"/>
                <w:szCs w:val="18"/>
              </w:rPr>
            </w:pPr>
            <w:r w:rsidRPr="00575CC5">
              <w:rPr>
                <w:rFonts w:eastAsia="MingLiU"/>
                <w:noProof/>
                <w:sz w:val="18"/>
                <w:szCs w:val="18"/>
              </w:rPr>
              <w:t>List of financial, administrative, and resource-related challenges faced by Member States in the implementation of the Directive</w:t>
            </w:r>
          </w:p>
          <w:p w14:paraId="2F6E4011" w14:textId="77777777" w:rsidR="00C87C82" w:rsidRPr="00575CC5" w:rsidRDefault="00C87C82" w:rsidP="00C87C82">
            <w:pPr>
              <w:pStyle w:val="ListParagraph"/>
              <w:numPr>
                <w:ilvl w:val="0"/>
                <w:numId w:val="41"/>
              </w:numPr>
              <w:spacing w:after="0"/>
              <w:jc w:val="left"/>
              <w:rPr>
                <w:rFonts w:eastAsia="MingLiU"/>
                <w:noProof/>
                <w:sz w:val="18"/>
                <w:szCs w:val="18"/>
              </w:rPr>
            </w:pPr>
            <w:r w:rsidRPr="00575CC5">
              <w:rPr>
                <w:rFonts w:eastAsia="MingLiU"/>
                <w:noProof/>
                <w:sz w:val="18"/>
                <w:szCs w:val="18"/>
              </w:rPr>
              <w:t>Qualitative assessment by the stakeholders on the extent these challenges impacted the overall efficiency and effectiveness of anti-money laundering measures</w:t>
            </w:r>
          </w:p>
        </w:tc>
        <w:tc>
          <w:tcPr>
            <w:tcW w:w="1395" w:type="pct"/>
            <w:gridSpan w:val="2"/>
            <w:vMerge/>
          </w:tcPr>
          <w:p w14:paraId="339C8FD6"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372B8063" w14:textId="77777777">
        <w:trPr>
          <w:trHeight w:val="578"/>
        </w:trPr>
        <w:tc>
          <w:tcPr>
            <w:tcW w:w="903" w:type="pct"/>
            <w:vMerge/>
          </w:tcPr>
          <w:p w14:paraId="71F56A60"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6EFEDDA8"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EQ14.3:  How has the regulatory burden on Member States, stemming from the implementation of the Directive, affected their capacity to meet other regulatory obligations and effectively address emerging financial crime threats? </w:t>
            </w:r>
          </w:p>
        </w:tc>
        <w:tc>
          <w:tcPr>
            <w:tcW w:w="1545" w:type="pct"/>
            <w:gridSpan w:val="2"/>
          </w:tcPr>
          <w:p w14:paraId="428A6EBE"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regulatory burden of the Directive</w:t>
            </w:r>
          </w:p>
          <w:p w14:paraId="53C73A7A"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ways the regulatory burden on Member States stemming from the implementation of the Directive affected their capacity to meet other regulatory obligations and effectively address emerging financial crime threats</w:t>
            </w:r>
          </w:p>
        </w:tc>
        <w:tc>
          <w:tcPr>
            <w:tcW w:w="1395" w:type="pct"/>
            <w:gridSpan w:val="2"/>
            <w:vMerge/>
          </w:tcPr>
          <w:p w14:paraId="1D1B30CA"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4089690A" w14:textId="77777777">
        <w:trPr>
          <w:trHeight w:val="578"/>
        </w:trPr>
        <w:tc>
          <w:tcPr>
            <w:tcW w:w="903" w:type="pct"/>
            <w:vMerge/>
          </w:tcPr>
          <w:p w14:paraId="1AE928FD" w14:textId="77777777" w:rsidR="00C87C82" w:rsidRPr="00575CC5" w:rsidRDefault="00C87C82">
            <w:pPr>
              <w:rPr>
                <w:rFonts w:ascii="Times New Roman" w:hAnsi="Times New Roman" w:cs="Times New Roman"/>
                <w:noProof/>
              </w:rPr>
            </w:pPr>
          </w:p>
        </w:tc>
        <w:tc>
          <w:tcPr>
            <w:tcW w:w="1157" w:type="pct"/>
            <w:gridSpan w:val="2"/>
          </w:tcPr>
          <w:p w14:paraId="7DD62F46"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EQ14.4: What measures or adjustments with regard to the implementation of the Directive can be undertaken to ensure a balanced approach that minimises unnecessary regulatory burden, streamlines regulatory requirements, optimises resource allocation while maintaining robust anti-money laundering standards and achieving the desired results outlined in the Directive? </w:t>
            </w:r>
          </w:p>
        </w:tc>
        <w:tc>
          <w:tcPr>
            <w:tcW w:w="1545" w:type="pct"/>
            <w:gridSpan w:val="2"/>
          </w:tcPr>
          <w:p w14:paraId="1CE08791"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Qualitative assessment by the stakeholders on the measures or adjustments needed with regard to the implementation of the Directive in order to minimise regulatory burden, streamline regulatory requirements, optimise resource allocation while maintaining robust anti-money laundering standards and achieving the desired results outlined in the Directive</w:t>
            </w:r>
          </w:p>
        </w:tc>
        <w:tc>
          <w:tcPr>
            <w:tcW w:w="1395" w:type="pct"/>
            <w:gridSpan w:val="2"/>
          </w:tcPr>
          <w:p w14:paraId="6CBD9852" w14:textId="77777777" w:rsidR="00C87C82" w:rsidRPr="00575CC5" w:rsidRDefault="00C87C82" w:rsidP="00C87C82">
            <w:pPr>
              <w:pStyle w:val="ListParagraph"/>
              <w:numPr>
                <w:ilvl w:val="0"/>
                <w:numId w:val="39"/>
              </w:numPr>
              <w:spacing w:after="0"/>
              <w:ind w:left="357" w:hanging="357"/>
              <w:rPr>
                <w:noProof/>
                <w:sz w:val="18"/>
                <w:szCs w:val="18"/>
              </w:rPr>
            </w:pPr>
            <w:r w:rsidRPr="00575CC5">
              <w:rPr>
                <w:noProof/>
                <w:sz w:val="18"/>
                <w:szCs w:val="18"/>
              </w:rPr>
              <w:t>Survey at EU bodies and agencies, incl. discovery interviews with DGs</w:t>
            </w:r>
          </w:p>
        </w:tc>
      </w:tr>
      <w:tr w:rsidR="00C87C82" w:rsidRPr="00575CC5" w14:paraId="7E20D17C" w14:textId="77777777">
        <w:trPr>
          <w:trHeight w:val="1005"/>
        </w:trPr>
        <w:tc>
          <w:tcPr>
            <w:tcW w:w="903" w:type="pct"/>
            <w:vMerge w:val="restart"/>
          </w:tcPr>
          <w:p w14:paraId="728F8A28"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EQ15: Is there a potential to simplify or reduce administrative burden (including monitoring and reporting) without undermining the intended objectives of the Directive?</w:t>
            </w:r>
          </w:p>
        </w:tc>
        <w:tc>
          <w:tcPr>
            <w:tcW w:w="1157" w:type="pct"/>
            <w:gridSpan w:val="2"/>
          </w:tcPr>
          <w:p w14:paraId="07B42575"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EQ15.1: Which elements of the implementation of the Directive represent an outsized administrative burden?</w:t>
            </w:r>
          </w:p>
          <w:p w14:paraId="250DB5F9" w14:textId="77777777" w:rsidR="00C87C82" w:rsidRPr="00575CC5" w:rsidRDefault="00C87C82">
            <w:pPr>
              <w:contextualSpacing/>
              <w:rPr>
                <w:rFonts w:ascii="Times New Roman" w:eastAsia="MingLiU" w:hAnsi="Times New Roman" w:cs="Times New Roman"/>
                <w:noProof/>
                <w:sz w:val="18"/>
                <w:szCs w:val="18"/>
              </w:rPr>
            </w:pPr>
          </w:p>
          <w:p w14:paraId="1A0ADB57" w14:textId="77777777" w:rsidR="00C87C82" w:rsidRPr="00575CC5" w:rsidRDefault="00C87C82">
            <w:pPr>
              <w:contextualSpacing/>
              <w:rPr>
                <w:rFonts w:ascii="Times New Roman" w:eastAsia="MingLiU" w:hAnsi="Times New Roman" w:cs="Times New Roman"/>
                <w:noProof/>
                <w:sz w:val="18"/>
                <w:szCs w:val="18"/>
              </w:rPr>
            </w:pPr>
          </w:p>
        </w:tc>
        <w:tc>
          <w:tcPr>
            <w:tcW w:w="1545" w:type="pct"/>
            <w:gridSpan w:val="2"/>
          </w:tcPr>
          <w:p w14:paraId="2D8D4FD4"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assessment by the stakeholders on</w:t>
            </w:r>
            <w:r w:rsidRPr="00575CC5">
              <w:rPr>
                <w:rFonts w:eastAsia="MingLiU"/>
                <w:noProof/>
                <w:sz w:val="18"/>
                <w:szCs w:val="18"/>
              </w:rPr>
              <w:t xml:space="preserve"> administratively burdensome elements of the implementation of the Directive</w:t>
            </w:r>
          </w:p>
          <w:p w14:paraId="213C4CD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List of administrative burdens associated with the implementation of the Directive as identified by stakeholders</w:t>
            </w:r>
          </w:p>
        </w:tc>
        <w:tc>
          <w:tcPr>
            <w:tcW w:w="1395" w:type="pct"/>
            <w:gridSpan w:val="2"/>
            <w:vMerge w:val="restart"/>
          </w:tcPr>
          <w:p w14:paraId="215C78E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7396CA2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7AD5EF4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7C49E1D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3969EDF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other stakeholders</w:t>
            </w:r>
          </w:p>
          <w:p w14:paraId="2FDAF61F"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 at EU bodies and agencies, incl. discovery interviews with DGs</w:t>
            </w:r>
          </w:p>
        </w:tc>
      </w:tr>
      <w:tr w:rsidR="00C87C82" w:rsidRPr="00575CC5" w14:paraId="53358BDA" w14:textId="77777777">
        <w:trPr>
          <w:trHeight w:val="20"/>
        </w:trPr>
        <w:tc>
          <w:tcPr>
            <w:tcW w:w="903" w:type="pct"/>
            <w:vMerge/>
          </w:tcPr>
          <w:p w14:paraId="4C11742A" w14:textId="77777777" w:rsidR="00C87C82" w:rsidRPr="00575CC5" w:rsidRDefault="00C87C82">
            <w:pPr>
              <w:rPr>
                <w:rFonts w:ascii="Times New Roman" w:eastAsia="MingLiU" w:hAnsi="Times New Roman" w:cs="Times New Roman"/>
                <w:bCs/>
                <w:noProof/>
                <w:sz w:val="18"/>
                <w:szCs w:val="18"/>
              </w:rPr>
            </w:pPr>
          </w:p>
        </w:tc>
        <w:tc>
          <w:tcPr>
            <w:tcW w:w="1157" w:type="pct"/>
            <w:gridSpan w:val="2"/>
          </w:tcPr>
          <w:p w14:paraId="54A23B4F"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EQ15.2: Is there scope to simplify those elements which represent an outsized administrative burden without reducing the desired benefits?</w:t>
            </w:r>
          </w:p>
        </w:tc>
        <w:tc>
          <w:tcPr>
            <w:tcW w:w="1545" w:type="pct"/>
            <w:gridSpan w:val="2"/>
          </w:tcPr>
          <w:p w14:paraId="6ECA2D8C"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 xml:space="preserve">Qualitative assessment by the stakeholders on </w:t>
            </w:r>
            <w:r w:rsidRPr="00575CC5">
              <w:rPr>
                <w:rFonts w:eastAsia="MingLiU"/>
                <w:noProof/>
                <w:sz w:val="18"/>
                <w:szCs w:val="18"/>
              </w:rPr>
              <w:t>simplification of administratively burdensome elements which would not undermine the objectives of the Directive</w:t>
            </w:r>
          </w:p>
        </w:tc>
        <w:tc>
          <w:tcPr>
            <w:tcW w:w="1395" w:type="pct"/>
            <w:gridSpan w:val="2"/>
            <w:vMerge/>
          </w:tcPr>
          <w:p w14:paraId="5D424A9F" w14:textId="77777777" w:rsidR="00C87C82" w:rsidRPr="00575CC5" w:rsidRDefault="00C87C82" w:rsidP="00C87C82">
            <w:pPr>
              <w:pStyle w:val="ListParagraph"/>
              <w:numPr>
                <w:ilvl w:val="0"/>
                <w:numId w:val="33"/>
              </w:numPr>
              <w:spacing w:after="0"/>
              <w:jc w:val="left"/>
              <w:rPr>
                <w:rFonts w:eastAsia="MingLiU"/>
                <w:bCs/>
                <w:noProof/>
                <w:sz w:val="18"/>
                <w:szCs w:val="18"/>
              </w:rPr>
            </w:pPr>
          </w:p>
        </w:tc>
      </w:tr>
    </w:tbl>
    <w:p w14:paraId="48431F15" w14:textId="77777777" w:rsidR="00C87C82" w:rsidRPr="00575CC5" w:rsidRDefault="00C87C82" w:rsidP="00C87C82">
      <w:pPr>
        <w:spacing w:after="0"/>
        <w:jc w:val="both"/>
        <w:rPr>
          <w:rFonts w:ascii="Times New Roman" w:hAnsi="Times New Roman" w:cs="Times New Roman"/>
          <w:noProof/>
          <w:sz w:val="24"/>
          <w:szCs w:val="24"/>
          <w:lang w:val="en-IE"/>
        </w:rPr>
      </w:pPr>
    </w:p>
    <w:p w14:paraId="3AF2D24F" w14:textId="6C9AE714" w:rsidR="00C87C82" w:rsidRPr="00575CC5" w:rsidRDefault="00C87C82" w:rsidP="00C87C82">
      <w:pPr>
        <w:pStyle w:val="Heading2"/>
        <w:numPr>
          <w:ilvl w:val="0"/>
          <w:numId w:val="28"/>
        </w:numPr>
        <w:rPr>
          <w:noProof/>
        </w:rPr>
      </w:pPr>
      <w:bookmarkStart w:id="90" w:name="_Toc218852112"/>
      <w:bookmarkStart w:id="91" w:name="_Toc223439276"/>
      <w:r w:rsidRPr="00575CC5">
        <w:rPr>
          <w:noProof/>
        </w:rPr>
        <w:t>Relevance</w:t>
      </w:r>
      <w:bookmarkEnd w:id="90"/>
      <w:bookmarkEnd w:id="91"/>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5"/>
        <w:gridCol w:w="2009"/>
        <w:gridCol w:w="2731"/>
        <w:gridCol w:w="2463"/>
      </w:tblGrid>
      <w:tr w:rsidR="00C87C82" w:rsidRPr="00575CC5" w14:paraId="642D9D46" w14:textId="77777777">
        <w:trPr>
          <w:trHeight w:val="20"/>
          <w:tblHeader/>
        </w:trPr>
        <w:tc>
          <w:tcPr>
            <w:tcW w:w="923" w:type="pct"/>
            <w:gridSpan w:val="2"/>
            <w:shd w:val="clear" w:color="auto" w:fill="F2F2F2" w:themeFill="background1" w:themeFillShade="F2"/>
          </w:tcPr>
          <w:p w14:paraId="6310508E"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37" w:type="pct"/>
            <w:shd w:val="clear" w:color="auto" w:fill="F2F2F2" w:themeFill="background1" w:themeFillShade="F2"/>
          </w:tcPr>
          <w:p w14:paraId="03EF55D8" w14:textId="3A0AE8BB"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Sub-questions</w:t>
            </w:r>
          </w:p>
        </w:tc>
        <w:tc>
          <w:tcPr>
            <w:tcW w:w="1546" w:type="pct"/>
            <w:shd w:val="clear" w:color="auto" w:fill="F2F2F2" w:themeFill="background1" w:themeFillShade="F2"/>
          </w:tcPr>
          <w:p w14:paraId="0FBCF56C"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Indicators</w:t>
            </w:r>
          </w:p>
        </w:tc>
        <w:tc>
          <w:tcPr>
            <w:tcW w:w="1394" w:type="pct"/>
            <w:shd w:val="clear" w:color="auto" w:fill="F2F2F2" w:themeFill="background1" w:themeFillShade="F2"/>
          </w:tcPr>
          <w:p w14:paraId="5F1FDB51"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Data collection methods &amp; sources</w:t>
            </w:r>
          </w:p>
        </w:tc>
      </w:tr>
      <w:tr w:rsidR="00C87C82" w:rsidRPr="00575CC5" w14:paraId="6151C771" w14:textId="77777777">
        <w:trPr>
          <w:trHeight w:val="25"/>
        </w:trPr>
        <w:tc>
          <w:tcPr>
            <w:tcW w:w="5000" w:type="pct"/>
            <w:gridSpan w:val="5"/>
            <w:shd w:val="clear" w:color="auto" w:fill="EAF1DD" w:themeFill="accent3" w:themeFillTint="33"/>
          </w:tcPr>
          <w:p w14:paraId="44F76105" w14:textId="77777777" w:rsidR="00C87C82" w:rsidRPr="00575CC5" w:rsidRDefault="00C87C82">
            <w:pPr>
              <w:rPr>
                <w:rFonts w:ascii="Times New Roman" w:eastAsia="MingLiU" w:hAnsi="Times New Roman" w:cs="Times New Roman"/>
                <w:b/>
                <w:bCs/>
                <w:i/>
                <w:iCs/>
                <w:noProof/>
                <w:sz w:val="18"/>
                <w:szCs w:val="18"/>
              </w:rPr>
            </w:pPr>
            <w:r w:rsidRPr="00575CC5">
              <w:rPr>
                <w:rFonts w:ascii="Times New Roman" w:eastAsia="MingLiU" w:hAnsi="Times New Roman" w:cs="Times New Roman"/>
                <w:b/>
                <w:bCs/>
                <w:i/>
                <w:iCs/>
                <w:noProof/>
                <w:sz w:val="18"/>
                <w:szCs w:val="18"/>
              </w:rPr>
              <w:t xml:space="preserve">Relevance </w:t>
            </w:r>
          </w:p>
        </w:tc>
      </w:tr>
      <w:tr w:rsidR="00C87C82" w:rsidRPr="00575CC5" w14:paraId="3963BF07" w14:textId="77777777">
        <w:trPr>
          <w:trHeight w:val="1302"/>
        </w:trPr>
        <w:tc>
          <w:tcPr>
            <w:tcW w:w="903" w:type="pct"/>
            <w:vMerge w:val="restart"/>
          </w:tcPr>
          <w:p w14:paraId="195D36F5"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  To what extent does the EU Directive 2018/1673 address current and future threats and needs concerning the development of organised crime, particularly focusing on evolving money laundering activities outlined in the 2021 Serious and Organised Crime Threat Assessment (SOCTA)? How can the provisions be enhanced to effectively respond to recent developments and anticipated trends, including criminal networks’ displacement of money laundering attempts to underground remittance systems, increased use of virtual currencies, and the exploitation of non-fungible tokens (NFTs) for money laundering purposes?</w:t>
            </w:r>
          </w:p>
        </w:tc>
        <w:tc>
          <w:tcPr>
            <w:tcW w:w="1157" w:type="pct"/>
            <w:gridSpan w:val="2"/>
          </w:tcPr>
          <w:p w14:paraId="281226FA"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EQ17.1: To what extent does the Directive address current and future threats and needs related to cybercrime as outlined in the 2021 SOCTA?</w:t>
            </w:r>
          </w:p>
        </w:tc>
        <w:tc>
          <w:tcPr>
            <w:tcW w:w="1546" w:type="pct"/>
          </w:tcPr>
          <w:p w14:paraId="5B6E13B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assessment by the stakeholders on the extent of a</w:t>
            </w:r>
            <w:r w:rsidRPr="00575CC5">
              <w:rPr>
                <w:rFonts w:eastAsia="MingLiU"/>
                <w:noProof/>
                <w:sz w:val="18"/>
                <w:szCs w:val="18"/>
              </w:rPr>
              <w:t xml:space="preserve">lignment of the Directive’s provisions with the current and future threats of cyber crime </w:t>
            </w:r>
          </w:p>
          <w:p w14:paraId="28F75DF3" w14:textId="77777777" w:rsidR="00C87C82" w:rsidRPr="00575CC5" w:rsidRDefault="00C87C82">
            <w:pPr>
              <w:pStyle w:val="ListParagraph"/>
              <w:spacing w:after="0"/>
              <w:ind w:left="360"/>
              <w:jc w:val="left"/>
              <w:rPr>
                <w:rFonts w:eastAsia="MingLiU"/>
                <w:noProof/>
                <w:sz w:val="18"/>
                <w:szCs w:val="18"/>
              </w:rPr>
            </w:pPr>
          </w:p>
        </w:tc>
        <w:tc>
          <w:tcPr>
            <w:tcW w:w="1394" w:type="pct"/>
            <w:vMerge w:val="restart"/>
          </w:tcPr>
          <w:p w14:paraId="34DC0088"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Desk research based on the 2021 SOCTA report and other publications by relevant authorities and research papers</w:t>
            </w:r>
          </w:p>
          <w:p w14:paraId="770D1F4B"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4D7681CC"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565E4B3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7A77A01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5A44A363"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other stakeholders</w:t>
            </w:r>
          </w:p>
          <w:p w14:paraId="163CE682"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 at EU bodies and agencies, incl. discovery interviews with DGs</w:t>
            </w:r>
          </w:p>
        </w:tc>
      </w:tr>
      <w:tr w:rsidR="00C87C82" w:rsidRPr="00575CC5" w14:paraId="30E9FA9D" w14:textId="77777777">
        <w:trPr>
          <w:trHeight w:val="1402"/>
        </w:trPr>
        <w:tc>
          <w:tcPr>
            <w:tcW w:w="903" w:type="pct"/>
            <w:vMerge/>
          </w:tcPr>
          <w:p w14:paraId="42A4330E"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30476CD0"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EQ17.2: To what extent does the Directive address the current and future threats and needs related to the trade in illegal drugs in the EU as outlined in the 2021 SOCTA?</w:t>
            </w:r>
          </w:p>
        </w:tc>
        <w:tc>
          <w:tcPr>
            <w:tcW w:w="1546" w:type="pct"/>
          </w:tcPr>
          <w:p w14:paraId="3F26416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assessment by the stakeholders on the extent of a</w:t>
            </w:r>
            <w:r w:rsidRPr="00575CC5">
              <w:rPr>
                <w:rFonts w:eastAsia="MingLiU"/>
                <w:noProof/>
                <w:sz w:val="18"/>
                <w:szCs w:val="18"/>
              </w:rPr>
              <w:t>lignment of the Directive’s provisions with the current and future threats and needs related to illegal drug trade</w:t>
            </w:r>
          </w:p>
          <w:p w14:paraId="39A7DE17" w14:textId="77777777" w:rsidR="00C87C82" w:rsidRPr="00575CC5" w:rsidRDefault="00C87C82">
            <w:pPr>
              <w:ind w:left="360"/>
              <w:contextualSpacing/>
              <w:rPr>
                <w:rFonts w:ascii="Times New Roman" w:eastAsia="MingLiU" w:hAnsi="Times New Roman" w:cs="Times New Roman"/>
                <w:noProof/>
                <w:sz w:val="18"/>
                <w:szCs w:val="18"/>
              </w:rPr>
            </w:pPr>
          </w:p>
        </w:tc>
        <w:tc>
          <w:tcPr>
            <w:tcW w:w="1394" w:type="pct"/>
            <w:vMerge/>
          </w:tcPr>
          <w:p w14:paraId="77FFF1BE"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2217CE34" w14:textId="77777777">
        <w:trPr>
          <w:trHeight w:val="1131"/>
        </w:trPr>
        <w:tc>
          <w:tcPr>
            <w:tcW w:w="903" w:type="pct"/>
            <w:vMerge/>
          </w:tcPr>
          <w:p w14:paraId="1B4024CA"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06D0255D"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EQ17.3: To what extent does the Directive address the current and future threats and needs related to environmental crime as outlined in the 2021 SOCTA?</w:t>
            </w:r>
          </w:p>
        </w:tc>
        <w:tc>
          <w:tcPr>
            <w:tcW w:w="1546" w:type="pct"/>
          </w:tcPr>
          <w:p w14:paraId="7A361B4D"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assessment by the stakeholders on the extent of a</w:t>
            </w:r>
            <w:r w:rsidRPr="00575CC5">
              <w:rPr>
                <w:rFonts w:eastAsia="MingLiU"/>
                <w:noProof/>
                <w:sz w:val="18"/>
                <w:szCs w:val="18"/>
              </w:rPr>
              <w:t>lignment of the Directive’s provisions with the current and future threats and needs related to environmental crime</w:t>
            </w:r>
          </w:p>
        </w:tc>
        <w:tc>
          <w:tcPr>
            <w:tcW w:w="1394" w:type="pct"/>
            <w:vMerge/>
          </w:tcPr>
          <w:p w14:paraId="08C253DC"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7CE202AC" w14:textId="77777777">
        <w:trPr>
          <w:trHeight w:val="1447"/>
        </w:trPr>
        <w:tc>
          <w:tcPr>
            <w:tcW w:w="903" w:type="pct"/>
            <w:vMerge/>
          </w:tcPr>
          <w:p w14:paraId="064E6BF9"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0990E316"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EQ17.4: To what extent does the Directive address the current and future threats and needs related to the trade in illegal firearms and explosives as outlined in the 2021 SOCTA?</w:t>
            </w:r>
          </w:p>
        </w:tc>
        <w:tc>
          <w:tcPr>
            <w:tcW w:w="1546" w:type="pct"/>
          </w:tcPr>
          <w:p w14:paraId="16647C3E"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the trade in illegal firearms and explosives</w:t>
            </w:r>
          </w:p>
        </w:tc>
        <w:tc>
          <w:tcPr>
            <w:tcW w:w="1394" w:type="pct"/>
            <w:vMerge/>
          </w:tcPr>
          <w:p w14:paraId="27FF014F"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3BC04088" w14:textId="77777777">
        <w:trPr>
          <w:trHeight w:val="1011"/>
        </w:trPr>
        <w:tc>
          <w:tcPr>
            <w:tcW w:w="903" w:type="pct"/>
            <w:vMerge/>
          </w:tcPr>
          <w:p w14:paraId="058D6B90"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1D641628"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EQ17.5: To what extent does the Directive address the current and future threats and needs related to fraud as outlined in the 2021 SOCTA?</w:t>
            </w:r>
          </w:p>
        </w:tc>
        <w:tc>
          <w:tcPr>
            <w:tcW w:w="1546" w:type="pct"/>
          </w:tcPr>
          <w:p w14:paraId="23B2C1C4"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fraud</w:t>
            </w:r>
          </w:p>
        </w:tc>
        <w:tc>
          <w:tcPr>
            <w:tcW w:w="1394" w:type="pct"/>
            <w:vMerge/>
          </w:tcPr>
          <w:p w14:paraId="1BC04FC0"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3C6F3237" w14:textId="77777777">
        <w:trPr>
          <w:trHeight w:val="1308"/>
        </w:trPr>
        <w:tc>
          <w:tcPr>
            <w:tcW w:w="903" w:type="pct"/>
            <w:vMerge/>
          </w:tcPr>
          <w:p w14:paraId="59787BB2"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7E2E30C7"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EQ17.6: To what extent does the Directive address the current and future threats and needs related to match fixing and betting-related scams as outlined in the 2021 SOCTA?</w:t>
            </w:r>
          </w:p>
        </w:tc>
        <w:tc>
          <w:tcPr>
            <w:tcW w:w="1546" w:type="pct"/>
          </w:tcPr>
          <w:p w14:paraId="4D124FAF"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match fixing and betting-related scams</w:t>
            </w:r>
          </w:p>
        </w:tc>
        <w:tc>
          <w:tcPr>
            <w:tcW w:w="1394" w:type="pct"/>
            <w:vMerge/>
          </w:tcPr>
          <w:p w14:paraId="5287BD1F"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7B535550" w14:textId="77777777">
        <w:trPr>
          <w:trHeight w:val="1179"/>
        </w:trPr>
        <w:tc>
          <w:tcPr>
            <w:tcW w:w="903" w:type="pct"/>
            <w:vMerge/>
          </w:tcPr>
          <w:p w14:paraId="10E64DA9"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6E3E1286"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EQ17.7: To what extent does the Directive address the current and future threats and needs related to “people as a commodity” as outlined in the 2021 SOCTA?</w:t>
            </w:r>
          </w:p>
        </w:tc>
        <w:tc>
          <w:tcPr>
            <w:tcW w:w="1546" w:type="pct"/>
          </w:tcPr>
          <w:p w14:paraId="5E599F7B"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“people as a commodity”</w:t>
            </w:r>
          </w:p>
        </w:tc>
        <w:tc>
          <w:tcPr>
            <w:tcW w:w="1394" w:type="pct"/>
            <w:vMerge/>
          </w:tcPr>
          <w:p w14:paraId="2F4814D1"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39306BB0" w14:textId="77777777">
        <w:trPr>
          <w:trHeight w:val="1191"/>
        </w:trPr>
        <w:tc>
          <w:tcPr>
            <w:tcW w:w="903" w:type="pct"/>
            <w:vMerge/>
          </w:tcPr>
          <w:p w14:paraId="46FCD187"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6BFEFE6F"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EQ17.8: To what extent does the Directive address the current and future threats and needs related to document fraud as outlined in the 2021 SOCTA?</w:t>
            </w:r>
          </w:p>
        </w:tc>
        <w:tc>
          <w:tcPr>
            <w:tcW w:w="1546" w:type="pct"/>
          </w:tcPr>
          <w:p w14:paraId="3073D2B9"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document fraud</w:t>
            </w:r>
          </w:p>
        </w:tc>
        <w:tc>
          <w:tcPr>
            <w:tcW w:w="1394" w:type="pct"/>
            <w:vMerge/>
          </w:tcPr>
          <w:p w14:paraId="6667DA59"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27E258DC" w14:textId="77777777">
        <w:trPr>
          <w:trHeight w:val="509"/>
        </w:trPr>
        <w:tc>
          <w:tcPr>
            <w:tcW w:w="903" w:type="pct"/>
            <w:vMerge/>
          </w:tcPr>
          <w:p w14:paraId="11A0133C"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450EA589"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EQ17.9: To what extent does the Directive address the current and future threats and needs related to product counterfeiting and intellectual property crime as outlined in the 2021 SOCTA?</w:t>
            </w:r>
          </w:p>
        </w:tc>
        <w:tc>
          <w:tcPr>
            <w:tcW w:w="1546" w:type="pct"/>
          </w:tcPr>
          <w:p w14:paraId="5DF15036"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product counterfeiting and intellectual property crime</w:t>
            </w:r>
          </w:p>
        </w:tc>
        <w:tc>
          <w:tcPr>
            <w:tcW w:w="1394" w:type="pct"/>
            <w:vMerge/>
          </w:tcPr>
          <w:p w14:paraId="0D9F007C"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6F447AA9" w14:textId="77777777">
        <w:trPr>
          <w:trHeight w:val="1174"/>
        </w:trPr>
        <w:tc>
          <w:tcPr>
            <w:tcW w:w="903" w:type="pct"/>
            <w:vMerge/>
          </w:tcPr>
          <w:p w14:paraId="3177B229"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57FA9840"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EQ17.10: To what extent does the Directive address the current and future threats and needs related to currency counterfeiting as outlined in the 2021 SOCTA?</w:t>
            </w:r>
          </w:p>
        </w:tc>
        <w:tc>
          <w:tcPr>
            <w:tcW w:w="1546" w:type="pct"/>
          </w:tcPr>
          <w:p w14:paraId="43AFA26C"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currency counterfeiting</w:t>
            </w:r>
          </w:p>
        </w:tc>
        <w:tc>
          <w:tcPr>
            <w:tcW w:w="1394" w:type="pct"/>
            <w:vMerge/>
          </w:tcPr>
          <w:p w14:paraId="43F6D48A"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41E05757" w14:textId="77777777">
        <w:trPr>
          <w:trHeight w:val="1135"/>
        </w:trPr>
        <w:tc>
          <w:tcPr>
            <w:tcW w:w="903" w:type="pct"/>
            <w:vMerge/>
          </w:tcPr>
          <w:p w14:paraId="31229F01"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183ABBB6"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EQ17.11: To what extent does the Directive address the current and future threats and needs related to organised property crime as outlined in the 2021 SOCTA?</w:t>
            </w:r>
          </w:p>
        </w:tc>
        <w:tc>
          <w:tcPr>
            <w:tcW w:w="1546" w:type="pct"/>
          </w:tcPr>
          <w:p w14:paraId="2040007F"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a</w:t>
            </w:r>
            <w:r w:rsidRPr="00575CC5">
              <w:rPr>
                <w:rFonts w:ascii="Times New Roman" w:eastAsia="MingLiU" w:hAnsi="Times New Roman" w:cs="Times New Roman"/>
                <w:noProof/>
                <w:sz w:val="18"/>
                <w:szCs w:val="18"/>
              </w:rPr>
              <w:t>lignment of the Directive’s provisions with the current and future threats and needs related to organised property crime</w:t>
            </w:r>
          </w:p>
        </w:tc>
        <w:tc>
          <w:tcPr>
            <w:tcW w:w="1394" w:type="pct"/>
            <w:vMerge/>
          </w:tcPr>
          <w:p w14:paraId="525FD7A3"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647DA458" w14:textId="77777777">
        <w:trPr>
          <w:trHeight w:val="850"/>
        </w:trPr>
        <w:tc>
          <w:tcPr>
            <w:tcW w:w="903" w:type="pct"/>
            <w:vMerge/>
          </w:tcPr>
          <w:p w14:paraId="56837740"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0C82B981"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EQ17.12: To what extent are the provisions still appropriate and sufficient to respond to recent developments and anticipated trends such as the response by criminal networks displacing money laundering attempts to underground remittance systems?</w:t>
            </w:r>
          </w:p>
        </w:tc>
        <w:tc>
          <w:tcPr>
            <w:tcW w:w="1546" w:type="pct"/>
          </w:tcPr>
          <w:p w14:paraId="0E1348E2"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relevance</w:t>
            </w:r>
            <w:r w:rsidRPr="00575CC5">
              <w:rPr>
                <w:rFonts w:ascii="Times New Roman" w:eastAsia="MingLiU" w:hAnsi="Times New Roman" w:cs="Times New Roman"/>
                <w:noProof/>
                <w:sz w:val="18"/>
                <w:szCs w:val="18"/>
              </w:rPr>
              <w:t xml:space="preserve"> of the Directive’s provisions with the anticipated trends in money laundering via underground remittance systems</w:t>
            </w:r>
          </w:p>
        </w:tc>
        <w:tc>
          <w:tcPr>
            <w:tcW w:w="1394" w:type="pct"/>
            <w:vMerge/>
          </w:tcPr>
          <w:p w14:paraId="14DFB05D"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336014B4" w14:textId="77777777">
        <w:tc>
          <w:tcPr>
            <w:tcW w:w="903" w:type="pct"/>
            <w:vMerge/>
          </w:tcPr>
          <w:p w14:paraId="4316A587"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56D8F28D"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EQ17.13: To what extent are the provisions still appropriate and sufficient to respond to recent developments and anticipated trends related to the use of virtual currencies and the tokenisation economy (such as NFTs)?</w:t>
            </w:r>
          </w:p>
        </w:tc>
        <w:tc>
          <w:tcPr>
            <w:tcW w:w="1546" w:type="pct"/>
          </w:tcPr>
          <w:p w14:paraId="5BDDE223"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 extent of relevance</w:t>
            </w:r>
            <w:r w:rsidRPr="00575CC5">
              <w:rPr>
                <w:rFonts w:ascii="Times New Roman" w:eastAsia="MingLiU" w:hAnsi="Times New Roman" w:cs="Times New Roman"/>
                <w:noProof/>
                <w:sz w:val="18"/>
                <w:szCs w:val="18"/>
              </w:rPr>
              <w:t xml:space="preserve"> of the Directive’s provisions with the anticipated trends in money laundering via virtual currencies</w:t>
            </w:r>
          </w:p>
        </w:tc>
        <w:tc>
          <w:tcPr>
            <w:tcW w:w="1394" w:type="pct"/>
            <w:vMerge/>
          </w:tcPr>
          <w:p w14:paraId="6A394D87"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r w:rsidR="00C87C82" w:rsidRPr="00575CC5" w14:paraId="05708FB9" w14:textId="77777777">
        <w:tc>
          <w:tcPr>
            <w:tcW w:w="903" w:type="pct"/>
            <w:vMerge/>
          </w:tcPr>
          <w:p w14:paraId="0806FD02"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0F24F15F"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EQ17.14: How can the Directive be further enhanced to better address the emerging trends and techniques observed in organised crime as well as new threats identified in SOCTA 2021?</w:t>
            </w:r>
          </w:p>
        </w:tc>
        <w:tc>
          <w:tcPr>
            <w:tcW w:w="1546" w:type="pct"/>
          </w:tcPr>
          <w:p w14:paraId="174C9378"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 xml:space="preserve">Qualitative assessment by the stakeholders on how to improve the Directive to </w:t>
            </w:r>
            <w:r w:rsidRPr="00575CC5">
              <w:rPr>
                <w:rFonts w:ascii="Times New Roman" w:eastAsia="MingLiU" w:hAnsi="Times New Roman" w:cs="Times New Roman"/>
                <w:noProof/>
                <w:sz w:val="18"/>
                <w:szCs w:val="18"/>
              </w:rPr>
              <w:t xml:space="preserve">better address the new threats and the emerging trends and techniques observed in organised crime </w:t>
            </w:r>
          </w:p>
        </w:tc>
        <w:tc>
          <w:tcPr>
            <w:tcW w:w="1394" w:type="pct"/>
            <w:vMerge/>
          </w:tcPr>
          <w:p w14:paraId="6FC220C8"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bl>
    <w:p w14:paraId="4A465172" w14:textId="77777777" w:rsidR="00C87C82" w:rsidRPr="00575CC5" w:rsidRDefault="00C87C82" w:rsidP="00C87C82">
      <w:pPr>
        <w:rPr>
          <w:rFonts w:ascii="Times New Roman" w:hAnsi="Times New Roman" w:cs="Times New Roman"/>
          <w:b/>
          <w:bCs/>
          <w:i/>
          <w:iCs/>
          <w:noProof/>
          <w:lang w:val="en-IE"/>
        </w:rPr>
      </w:pP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5"/>
        <w:gridCol w:w="2009"/>
        <w:gridCol w:w="2731"/>
        <w:gridCol w:w="2463"/>
      </w:tblGrid>
      <w:tr w:rsidR="00C87C82" w:rsidRPr="00575CC5" w14:paraId="0AD365CC" w14:textId="77777777">
        <w:trPr>
          <w:trHeight w:val="20"/>
          <w:tblHeader/>
        </w:trPr>
        <w:tc>
          <w:tcPr>
            <w:tcW w:w="923" w:type="pct"/>
            <w:gridSpan w:val="2"/>
            <w:shd w:val="clear" w:color="auto" w:fill="F2F2F2" w:themeFill="background1" w:themeFillShade="F2"/>
          </w:tcPr>
          <w:p w14:paraId="06AF66D2"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37" w:type="pct"/>
            <w:shd w:val="clear" w:color="auto" w:fill="F2F2F2" w:themeFill="background1" w:themeFillShade="F2"/>
          </w:tcPr>
          <w:p w14:paraId="1208490E" w14:textId="4F8F2B85"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Sub-questions</w:t>
            </w:r>
          </w:p>
        </w:tc>
        <w:tc>
          <w:tcPr>
            <w:tcW w:w="1546" w:type="pct"/>
            <w:shd w:val="clear" w:color="auto" w:fill="F2F2F2" w:themeFill="background1" w:themeFillShade="F2"/>
          </w:tcPr>
          <w:p w14:paraId="62E74B7E"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Indicators</w:t>
            </w:r>
          </w:p>
        </w:tc>
        <w:tc>
          <w:tcPr>
            <w:tcW w:w="1394" w:type="pct"/>
            <w:shd w:val="clear" w:color="auto" w:fill="F2F2F2" w:themeFill="background1" w:themeFillShade="F2"/>
          </w:tcPr>
          <w:p w14:paraId="5E47FD75"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Data collection methods &amp; sources</w:t>
            </w:r>
          </w:p>
        </w:tc>
      </w:tr>
      <w:tr w:rsidR="00C87C82" w:rsidRPr="00575CC5" w14:paraId="521AB05F" w14:textId="77777777">
        <w:trPr>
          <w:trHeight w:val="25"/>
        </w:trPr>
        <w:tc>
          <w:tcPr>
            <w:tcW w:w="5000" w:type="pct"/>
            <w:gridSpan w:val="5"/>
            <w:shd w:val="clear" w:color="auto" w:fill="EAF1DD" w:themeFill="accent3" w:themeFillTint="33"/>
          </w:tcPr>
          <w:p w14:paraId="6AF4F2FC" w14:textId="77777777" w:rsidR="00C87C82" w:rsidRPr="00575CC5" w:rsidRDefault="00C87C82">
            <w:pPr>
              <w:rPr>
                <w:rFonts w:ascii="Times New Roman" w:eastAsia="MingLiU" w:hAnsi="Times New Roman" w:cs="Times New Roman"/>
                <w:b/>
                <w:bCs/>
                <w:i/>
                <w:iCs/>
                <w:noProof/>
                <w:sz w:val="18"/>
                <w:szCs w:val="18"/>
              </w:rPr>
            </w:pPr>
            <w:r w:rsidRPr="00575CC5">
              <w:rPr>
                <w:rFonts w:ascii="Times New Roman" w:eastAsia="MingLiU" w:hAnsi="Times New Roman" w:cs="Times New Roman"/>
                <w:b/>
                <w:bCs/>
                <w:i/>
                <w:iCs/>
                <w:noProof/>
                <w:sz w:val="18"/>
                <w:szCs w:val="18"/>
              </w:rPr>
              <w:t xml:space="preserve">Relevance </w:t>
            </w:r>
          </w:p>
        </w:tc>
      </w:tr>
      <w:tr w:rsidR="00C87C82" w:rsidRPr="00575CC5" w14:paraId="2B56FA1A" w14:textId="77777777">
        <w:trPr>
          <w:trHeight w:val="1540"/>
        </w:trPr>
        <w:tc>
          <w:tcPr>
            <w:tcW w:w="903" w:type="pct"/>
            <w:vMerge w:val="restart"/>
          </w:tcPr>
          <w:p w14:paraId="64ED0C0B"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EQ18: Are there provisions contained in the Directive that might be considered obsolete or provisions that should be aligned due to certain developments (for example: Proposal for a Directive on asset recovery and confiscation as well as sanction evasion)?</w:t>
            </w:r>
          </w:p>
        </w:tc>
        <w:tc>
          <w:tcPr>
            <w:tcW w:w="1157" w:type="pct"/>
            <w:gridSpan w:val="2"/>
          </w:tcPr>
          <w:p w14:paraId="74F3F289"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EQ18.1:  Which specific provisions within the Directive may no longer effectively address the current challenges posed by emerging forms of financial crime, and what amendments or revisions could be proposed to enhance their efficacy and alignment with contemporary regulatory standards and practices?</w:t>
            </w:r>
          </w:p>
        </w:tc>
        <w:tc>
          <w:tcPr>
            <w:tcW w:w="1546" w:type="pct"/>
          </w:tcPr>
          <w:p w14:paraId="4DAC6B3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assessment from stakeholders on the</w:t>
            </w:r>
            <w:r w:rsidRPr="00575CC5">
              <w:rPr>
                <w:rFonts w:eastAsia="MingLiU"/>
                <w:noProof/>
                <w:sz w:val="18"/>
                <w:szCs w:val="18"/>
              </w:rPr>
              <w:t xml:space="preserve"> provisions of the Directive that may no longer effectively address the current challenges posed by emerging forms of financial crime</w:t>
            </w:r>
          </w:p>
          <w:p w14:paraId="6A9A7AD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input from stakeholders on points of improvement of the</w:t>
            </w:r>
            <w:r w:rsidRPr="00575CC5">
              <w:rPr>
                <w:rFonts w:eastAsia="MingLiU"/>
                <w:noProof/>
                <w:sz w:val="18"/>
                <w:szCs w:val="18"/>
              </w:rPr>
              <w:t xml:space="preserve"> Directive’s provisions that may no longer effectively address the current challenges posed by emerging forms of financial crime</w:t>
            </w:r>
          </w:p>
          <w:p w14:paraId="43678417" w14:textId="77777777" w:rsidR="00C87C82" w:rsidRPr="00575CC5" w:rsidRDefault="00C87C82">
            <w:pPr>
              <w:rPr>
                <w:rFonts w:ascii="Times New Roman" w:eastAsia="MingLiU" w:hAnsi="Times New Roman" w:cs="Times New Roman"/>
                <w:noProof/>
                <w:sz w:val="18"/>
                <w:szCs w:val="18"/>
              </w:rPr>
            </w:pPr>
          </w:p>
        </w:tc>
        <w:tc>
          <w:tcPr>
            <w:tcW w:w="1394" w:type="pct"/>
            <w:vMerge w:val="restart"/>
          </w:tcPr>
          <w:p w14:paraId="7543351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 xml:space="preserve">Desk research analysing evolutions in the financial crime trends and the regulatory landscape </w:t>
            </w:r>
          </w:p>
          <w:p w14:paraId="2E5922F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2C9FA67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03C1EE5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41E026B0"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4F390D8C"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other stakeholders</w:t>
            </w:r>
          </w:p>
          <w:p w14:paraId="5AC98501"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 at EU bodies and agencies, incl. discovery interviews with DGs</w:t>
            </w:r>
          </w:p>
          <w:p w14:paraId="00006CB5" w14:textId="77777777" w:rsidR="00C87C82" w:rsidRPr="00575CC5" w:rsidRDefault="00C87C82">
            <w:pPr>
              <w:contextualSpacing/>
              <w:rPr>
                <w:rFonts w:ascii="Times New Roman" w:eastAsia="MingLiU" w:hAnsi="Times New Roman" w:cs="Times New Roman"/>
                <w:noProof/>
                <w:sz w:val="18"/>
                <w:szCs w:val="18"/>
              </w:rPr>
            </w:pPr>
          </w:p>
        </w:tc>
      </w:tr>
      <w:tr w:rsidR="00C87C82" w:rsidRPr="00575CC5" w14:paraId="5F725451" w14:textId="77777777">
        <w:trPr>
          <w:trHeight w:val="1540"/>
        </w:trPr>
        <w:tc>
          <w:tcPr>
            <w:tcW w:w="903" w:type="pct"/>
            <w:vMerge/>
          </w:tcPr>
          <w:p w14:paraId="42C58094"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2DE279D2"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EQ18.2:  In what ways can the Directive be better harmonised with the proposed measures outlined in the Directive on asset recovery and confiscation and other relevant initiatives, e.g., sanction evasion?</w:t>
            </w:r>
          </w:p>
        </w:tc>
        <w:tc>
          <w:tcPr>
            <w:tcW w:w="1546" w:type="pct"/>
          </w:tcPr>
          <w:p w14:paraId="64682EC6"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 xml:space="preserve">Qualitative input from stakeholders on points of improvement of the Directive for further alignment with the </w:t>
            </w:r>
            <w:r w:rsidRPr="00575CC5">
              <w:rPr>
                <w:rFonts w:ascii="Times New Roman" w:eastAsia="MingLiU" w:hAnsi="Times New Roman" w:cs="Times New Roman"/>
                <w:noProof/>
                <w:sz w:val="18"/>
                <w:szCs w:val="18"/>
              </w:rPr>
              <w:t>proposed measures outlined in the Directive on asset recovery and confiscation and other relevant initiatives (e.g., the AML package, sanction evasion)</w:t>
            </w:r>
          </w:p>
        </w:tc>
        <w:tc>
          <w:tcPr>
            <w:tcW w:w="1394" w:type="pct"/>
            <w:vMerge/>
          </w:tcPr>
          <w:p w14:paraId="0BD758B2" w14:textId="77777777" w:rsidR="00C87C82" w:rsidRPr="00575CC5" w:rsidRDefault="00C87C82" w:rsidP="00C87C82">
            <w:pPr>
              <w:pStyle w:val="ListParagraph"/>
              <w:numPr>
                <w:ilvl w:val="0"/>
                <w:numId w:val="33"/>
              </w:numPr>
              <w:spacing w:after="0"/>
              <w:jc w:val="left"/>
              <w:rPr>
                <w:rFonts w:eastAsia="MingLiU"/>
                <w:noProof/>
                <w:sz w:val="18"/>
                <w:szCs w:val="18"/>
              </w:rPr>
            </w:pPr>
          </w:p>
        </w:tc>
      </w:tr>
      <w:tr w:rsidR="00C87C82" w:rsidRPr="00575CC5" w14:paraId="5B2C9BE2" w14:textId="77777777">
        <w:trPr>
          <w:trHeight w:val="965"/>
        </w:trPr>
        <w:tc>
          <w:tcPr>
            <w:tcW w:w="903" w:type="pct"/>
            <w:vMerge/>
          </w:tcPr>
          <w:p w14:paraId="40199559"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30833CB8"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EQ18.3: Are there provisions that might be considered obsolete or need to be aligned due to any other changes?</w:t>
            </w:r>
          </w:p>
        </w:tc>
        <w:tc>
          <w:tcPr>
            <w:tcW w:w="1546" w:type="pct"/>
          </w:tcPr>
          <w:p w14:paraId="35BD19F7"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w:t>
            </w:r>
            <w:r w:rsidRPr="00575CC5">
              <w:rPr>
                <w:rFonts w:ascii="Times New Roman" w:eastAsia="MingLiU" w:hAnsi="Times New Roman" w:cs="Times New Roman"/>
                <w:noProof/>
                <w:sz w:val="18"/>
                <w:szCs w:val="18"/>
              </w:rPr>
              <w:t xml:space="preserve"> provisions which could be considered obsolete due to other changes</w:t>
            </w:r>
          </w:p>
          <w:p w14:paraId="3299D845"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 on the</w:t>
            </w:r>
            <w:r w:rsidRPr="00575CC5">
              <w:rPr>
                <w:rFonts w:ascii="Times New Roman" w:eastAsia="MingLiU" w:hAnsi="Times New Roman" w:cs="Times New Roman"/>
                <w:noProof/>
                <w:sz w:val="18"/>
                <w:szCs w:val="18"/>
              </w:rPr>
              <w:t xml:space="preserve"> provisions which might require alignment due to other changes</w:t>
            </w:r>
          </w:p>
        </w:tc>
        <w:tc>
          <w:tcPr>
            <w:tcW w:w="1394" w:type="pct"/>
            <w:vMerge/>
          </w:tcPr>
          <w:p w14:paraId="530AAA1A" w14:textId="77777777" w:rsidR="00C87C82" w:rsidRPr="00575CC5" w:rsidRDefault="00C87C82" w:rsidP="00C87C82">
            <w:pPr>
              <w:pStyle w:val="ListParagraph"/>
              <w:numPr>
                <w:ilvl w:val="0"/>
                <w:numId w:val="33"/>
              </w:numPr>
              <w:spacing w:after="0"/>
              <w:jc w:val="left"/>
              <w:rPr>
                <w:rFonts w:eastAsia="MingLiU"/>
                <w:noProof/>
                <w:sz w:val="18"/>
                <w:szCs w:val="18"/>
              </w:rPr>
            </w:pPr>
          </w:p>
        </w:tc>
      </w:tr>
    </w:tbl>
    <w:p w14:paraId="59651148" w14:textId="77777777" w:rsidR="00C87C82" w:rsidRPr="00575CC5" w:rsidRDefault="00C87C82" w:rsidP="00C87C82">
      <w:pPr>
        <w:rPr>
          <w:rFonts w:ascii="Times New Roman" w:hAnsi="Times New Roman" w:cs="Times New Roman"/>
          <w:b/>
          <w:bCs/>
          <w:i/>
          <w:iCs/>
          <w:noProof/>
          <w:lang w:val="en-IE"/>
        </w:rPr>
      </w:pP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5"/>
        <w:gridCol w:w="2009"/>
        <w:gridCol w:w="2731"/>
        <w:gridCol w:w="2463"/>
      </w:tblGrid>
      <w:tr w:rsidR="00C87C82" w:rsidRPr="00575CC5" w14:paraId="40F02EF3" w14:textId="77777777">
        <w:trPr>
          <w:trHeight w:val="20"/>
          <w:tblHeader/>
        </w:trPr>
        <w:tc>
          <w:tcPr>
            <w:tcW w:w="923" w:type="pct"/>
            <w:gridSpan w:val="2"/>
            <w:shd w:val="clear" w:color="auto" w:fill="F2F2F2" w:themeFill="background1" w:themeFillShade="F2"/>
          </w:tcPr>
          <w:p w14:paraId="1554CB61"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37" w:type="pct"/>
            <w:shd w:val="clear" w:color="auto" w:fill="F2F2F2" w:themeFill="background1" w:themeFillShade="F2"/>
          </w:tcPr>
          <w:p w14:paraId="710B0201" w14:textId="42856223"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Sub-questions</w:t>
            </w:r>
          </w:p>
        </w:tc>
        <w:tc>
          <w:tcPr>
            <w:tcW w:w="1546" w:type="pct"/>
            <w:shd w:val="clear" w:color="auto" w:fill="F2F2F2" w:themeFill="background1" w:themeFillShade="F2"/>
          </w:tcPr>
          <w:p w14:paraId="4E58E24A"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Indicators</w:t>
            </w:r>
          </w:p>
        </w:tc>
        <w:tc>
          <w:tcPr>
            <w:tcW w:w="1394" w:type="pct"/>
            <w:shd w:val="clear" w:color="auto" w:fill="F2F2F2" w:themeFill="background1" w:themeFillShade="F2"/>
          </w:tcPr>
          <w:p w14:paraId="42EE0986"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Data collection methods &amp; sources</w:t>
            </w:r>
          </w:p>
        </w:tc>
      </w:tr>
      <w:tr w:rsidR="00C87C82" w:rsidRPr="00575CC5" w14:paraId="6AE9F5F8" w14:textId="77777777">
        <w:trPr>
          <w:trHeight w:val="25"/>
        </w:trPr>
        <w:tc>
          <w:tcPr>
            <w:tcW w:w="5000" w:type="pct"/>
            <w:gridSpan w:val="5"/>
            <w:shd w:val="clear" w:color="auto" w:fill="EAF1DD" w:themeFill="accent3" w:themeFillTint="33"/>
          </w:tcPr>
          <w:p w14:paraId="5945EEE0" w14:textId="77777777" w:rsidR="00C87C82" w:rsidRPr="00575CC5" w:rsidRDefault="00C87C82">
            <w:pPr>
              <w:rPr>
                <w:rFonts w:ascii="Times New Roman" w:eastAsia="MingLiU" w:hAnsi="Times New Roman" w:cs="Times New Roman"/>
                <w:b/>
                <w:bCs/>
                <w:i/>
                <w:iCs/>
                <w:noProof/>
                <w:sz w:val="18"/>
                <w:szCs w:val="18"/>
              </w:rPr>
            </w:pPr>
            <w:r w:rsidRPr="00575CC5">
              <w:rPr>
                <w:rFonts w:ascii="Times New Roman" w:eastAsia="MingLiU" w:hAnsi="Times New Roman" w:cs="Times New Roman"/>
                <w:b/>
                <w:bCs/>
                <w:i/>
                <w:iCs/>
                <w:noProof/>
                <w:sz w:val="18"/>
                <w:szCs w:val="18"/>
              </w:rPr>
              <w:t xml:space="preserve">Relevance </w:t>
            </w:r>
          </w:p>
        </w:tc>
      </w:tr>
      <w:tr w:rsidR="00C87C82" w:rsidRPr="00575CC5" w14:paraId="0ED9774F" w14:textId="77777777">
        <w:trPr>
          <w:trHeight w:val="1945"/>
        </w:trPr>
        <w:tc>
          <w:tcPr>
            <w:tcW w:w="903" w:type="pct"/>
            <w:vMerge w:val="restart"/>
          </w:tcPr>
          <w:p w14:paraId="2C8E08D5" w14:textId="340306DC"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EQ19: Are there other remaining obstacles/legal and practical issues in the fight against money laundering identified by relevant stakeholders such as EUROJUST or FATF that are not sufficiently addressed or taken into account in the Directive?</w:t>
            </w:r>
          </w:p>
        </w:tc>
        <w:tc>
          <w:tcPr>
            <w:tcW w:w="1157" w:type="pct"/>
            <w:gridSpan w:val="2"/>
          </w:tcPr>
          <w:p w14:paraId="5FF58FD8"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EQ19.1: Are there any legal issues in the fight against money laundering identified by relevant stakeholders such as EUROJUST or FATF which are not sufficiently addressed in the Directive?</w:t>
            </w:r>
          </w:p>
        </w:tc>
        <w:tc>
          <w:tcPr>
            <w:tcW w:w="1546" w:type="pct"/>
          </w:tcPr>
          <w:p w14:paraId="6A9C41B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List of unaddressed legal issues in the Directive as identified by relevant stakeholders</w:t>
            </w:r>
          </w:p>
          <w:p w14:paraId="0791C0B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noProof/>
                <w:sz w:val="18"/>
                <w:szCs w:val="18"/>
              </w:rPr>
              <w:t>Qualitative assessment by the stakeholders on the importance of the unaddressed legal issues to the overall effectiveness of the Directive</w:t>
            </w:r>
          </w:p>
        </w:tc>
        <w:tc>
          <w:tcPr>
            <w:tcW w:w="1394" w:type="pct"/>
            <w:vMerge w:val="restart"/>
          </w:tcPr>
          <w:p w14:paraId="7D9A8E35"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judicial authorities in EU Member States</w:t>
            </w:r>
          </w:p>
          <w:p w14:paraId="2D4E78C6"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national law enforcement authorities in EU Member States</w:t>
            </w:r>
          </w:p>
          <w:p w14:paraId="367BFE9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Financial Intelligence Units in EU Member States</w:t>
            </w:r>
          </w:p>
          <w:p w14:paraId="4DE3160A"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Asset Recovery Offices in EU Member States</w:t>
            </w:r>
          </w:p>
          <w:p w14:paraId="1BD14B0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targeted at international bodies</w:t>
            </w:r>
          </w:p>
          <w:p w14:paraId="47386419"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 at EU bodies and agencies, incl. discovery interviews with DGs</w:t>
            </w:r>
          </w:p>
          <w:p w14:paraId="5964E607" w14:textId="77777777" w:rsidR="00C87C82" w:rsidRPr="00575CC5" w:rsidRDefault="00C87C82" w:rsidP="00C87C82">
            <w:pPr>
              <w:pStyle w:val="ListParagraph"/>
              <w:numPr>
                <w:ilvl w:val="0"/>
                <w:numId w:val="33"/>
              </w:numPr>
              <w:spacing w:after="0"/>
              <w:jc w:val="left"/>
              <w:rPr>
                <w:rFonts w:eastAsia="MingLiU"/>
                <w:noProof/>
                <w:sz w:val="18"/>
                <w:szCs w:val="18"/>
              </w:rPr>
            </w:pPr>
            <w:r w:rsidRPr="00575CC5">
              <w:rPr>
                <w:rFonts w:eastAsia="MingLiU"/>
                <w:noProof/>
                <w:sz w:val="18"/>
                <w:szCs w:val="18"/>
              </w:rPr>
              <w:t>Surveys at other stakeholders</w:t>
            </w:r>
          </w:p>
        </w:tc>
      </w:tr>
      <w:tr w:rsidR="00C87C82" w:rsidRPr="00575CC5" w14:paraId="1CB24BD8" w14:textId="77777777">
        <w:trPr>
          <w:trHeight w:val="1945"/>
        </w:trPr>
        <w:tc>
          <w:tcPr>
            <w:tcW w:w="903" w:type="pct"/>
            <w:vMerge/>
          </w:tcPr>
          <w:p w14:paraId="47C2C03B"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1555698F"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EQ19.2: Are there any practical issues in the fight against money laundering identified by relevant stakeholders such as EUROJUST or FATF which are not sufficiently addressed in the Directive?</w:t>
            </w:r>
          </w:p>
        </w:tc>
        <w:tc>
          <w:tcPr>
            <w:tcW w:w="1546" w:type="pct"/>
          </w:tcPr>
          <w:p w14:paraId="08BF496D"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List of unaddressed practical issues in the Directive as identified by relevant stakeholders</w:t>
            </w:r>
          </w:p>
          <w:p w14:paraId="2D709019" w14:textId="77777777" w:rsidR="00C87C82" w:rsidRPr="00575CC5" w:rsidRDefault="00C87C82" w:rsidP="00C87C82">
            <w:pPr>
              <w:numPr>
                <w:ilvl w:val="0"/>
                <w:numId w:val="34"/>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from stakeholders on the importance of the unaddressed practical issues to the overall effectiveness of the Directive</w:t>
            </w:r>
          </w:p>
        </w:tc>
        <w:tc>
          <w:tcPr>
            <w:tcW w:w="1394" w:type="pct"/>
            <w:vMerge/>
          </w:tcPr>
          <w:p w14:paraId="5254DD15"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bl>
    <w:p w14:paraId="481010A7" w14:textId="77777777" w:rsidR="00C87C82" w:rsidRPr="00575CC5" w:rsidRDefault="00C87C82" w:rsidP="00C87C82">
      <w:pPr>
        <w:rPr>
          <w:rFonts w:ascii="Times New Roman" w:hAnsi="Times New Roman" w:cs="Times New Roman"/>
          <w:noProof/>
          <w:lang w:val="en-IE"/>
        </w:rPr>
      </w:pPr>
    </w:p>
    <w:p w14:paraId="5864A879" w14:textId="7D16E6DB" w:rsidR="00C87C82" w:rsidRPr="00575CC5" w:rsidRDefault="00C87C82" w:rsidP="00C87C82">
      <w:pPr>
        <w:pStyle w:val="Heading2"/>
        <w:numPr>
          <w:ilvl w:val="0"/>
          <w:numId w:val="28"/>
        </w:numPr>
        <w:rPr>
          <w:noProof/>
        </w:rPr>
      </w:pPr>
      <w:bookmarkStart w:id="92" w:name="_Toc218852113"/>
      <w:bookmarkStart w:id="93" w:name="_Toc223439277"/>
      <w:r w:rsidRPr="00575CC5">
        <w:rPr>
          <w:noProof/>
        </w:rPr>
        <w:t>Coherence</w:t>
      </w:r>
      <w:bookmarkEnd w:id="92"/>
      <w:bookmarkEnd w:id="93"/>
    </w:p>
    <w:p w14:paraId="12F3F3BE" w14:textId="2C8E465D" w:rsidR="003E3CA2" w:rsidRPr="00A908E5" w:rsidRDefault="003E3CA2" w:rsidP="003E3CA2">
      <w:pPr>
        <w:jc w:val="both"/>
        <w:rPr>
          <w:rFonts w:ascii="Times New Roman" w:hAnsi="Times New Roman" w:cs="Times New Roman"/>
          <w:b/>
          <w:bCs/>
          <w:i/>
          <w:iCs/>
          <w:noProof/>
        </w:rPr>
      </w:pPr>
      <w:r w:rsidRPr="00A908E5">
        <w:rPr>
          <w:rFonts w:ascii="Times New Roman" w:hAnsi="Times New Roman" w:cs="Times New Roman"/>
          <w:noProof/>
          <w:sz w:val="24"/>
          <w:szCs w:val="24"/>
        </w:rPr>
        <w:t xml:space="preserve">In accordance with the Better </w:t>
      </w:r>
      <w:r w:rsidR="009E0501">
        <w:rPr>
          <w:rFonts w:ascii="Times New Roman" w:hAnsi="Times New Roman" w:cs="Times New Roman"/>
          <w:noProof/>
          <w:sz w:val="24"/>
          <w:szCs w:val="24"/>
        </w:rPr>
        <w:t>r</w:t>
      </w:r>
      <w:r w:rsidRPr="00A908E5">
        <w:rPr>
          <w:rFonts w:ascii="Times New Roman" w:hAnsi="Times New Roman" w:cs="Times New Roman"/>
          <w:noProof/>
          <w:sz w:val="24"/>
          <w:szCs w:val="24"/>
        </w:rPr>
        <w:t xml:space="preserve">egulation </w:t>
      </w:r>
      <w:r w:rsidR="009E0501">
        <w:rPr>
          <w:rFonts w:ascii="Times New Roman" w:hAnsi="Times New Roman" w:cs="Times New Roman"/>
          <w:noProof/>
          <w:sz w:val="24"/>
          <w:szCs w:val="24"/>
        </w:rPr>
        <w:t>g</w:t>
      </w:r>
      <w:r w:rsidRPr="00A908E5">
        <w:rPr>
          <w:rFonts w:ascii="Times New Roman" w:hAnsi="Times New Roman" w:cs="Times New Roman"/>
          <w:noProof/>
          <w:sz w:val="24"/>
          <w:szCs w:val="24"/>
        </w:rPr>
        <w:t>uidelines, the evaluation of coherence entails assessing how well different interventions work together</w:t>
      </w:r>
      <w:r>
        <w:rPr>
          <w:rFonts w:ascii="Times New Roman" w:hAnsi="Times New Roman" w:cs="Times New Roman"/>
          <w:noProof/>
          <w:sz w:val="24"/>
          <w:szCs w:val="24"/>
        </w:rPr>
        <w:t xml:space="preserve"> and are consistent with each other</w:t>
      </w:r>
      <w:r w:rsidRPr="00A908E5">
        <w:rPr>
          <w:rFonts w:ascii="Times New Roman" w:hAnsi="Times New Roman" w:cs="Times New Roman"/>
          <w:noProof/>
          <w:sz w:val="24"/>
          <w:szCs w:val="24"/>
        </w:rPr>
        <w:t xml:space="preserve">. The coherence evaluation criterion is twofold: internal and external. On the one hand, internal </w:t>
      </w:r>
      <w:r w:rsidR="00AA4A5B">
        <w:rPr>
          <w:rFonts w:ascii="Times New Roman" w:hAnsi="Times New Roman" w:cs="Times New Roman"/>
          <w:noProof/>
          <w:sz w:val="24"/>
          <w:szCs w:val="24"/>
        </w:rPr>
        <w:t>coherence</w:t>
      </w:r>
      <w:r w:rsidRPr="00A908E5">
        <w:rPr>
          <w:rFonts w:ascii="Times New Roman" w:hAnsi="Times New Roman" w:cs="Times New Roman"/>
          <w:noProof/>
          <w:sz w:val="24"/>
          <w:szCs w:val="24"/>
        </w:rPr>
        <w:t xml:space="preserve"> means looking at how the different components of the same EU intervention (the CMLD, in this case) operate together to achieve its objectives. On the other hand, external </w:t>
      </w:r>
      <w:r w:rsidR="003A6D5A">
        <w:rPr>
          <w:rFonts w:ascii="Times New Roman" w:hAnsi="Times New Roman" w:cs="Times New Roman"/>
          <w:noProof/>
          <w:sz w:val="24"/>
          <w:szCs w:val="24"/>
        </w:rPr>
        <w:t>coherence</w:t>
      </w:r>
      <w:r w:rsidRPr="00A908E5">
        <w:rPr>
          <w:rFonts w:ascii="Times New Roman" w:hAnsi="Times New Roman" w:cs="Times New Roman"/>
          <w:noProof/>
          <w:sz w:val="24"/>
          <w:szCs w:val="24"/>
        </w:rPr>
        <w:t xml:space="preserve"> examines how different interventions complement each other (</w:t>
      </w:r>
      <w:r>
        <w:rPr>
          <w:rFonts w:ascii="Times New Roman" w:hAnsi="Times New Roman" w:cs="Times New Roman"/>
          <w:noProof/>
          <w:sz w:val="24"/>
          <w:szCs w:val="24"/>
        </w:rPr>
        <w:t>e.g.</w:t>
      </w:r>
      <w:r w:rsidRPr="00A908E5">
        <w:rPr>
          <w:rFonts w:ascii="Times New Roman" w:hAnsi="Times New Roman" w:cs="Times New Roman"/>
          <w:noProof/>
          <w:sz w:val="24"/>
          <w:szCs w:val="24"/>
        </w:rPr>
        <w:t xml:space="preserve"> assessing whether there are synergies, but also duplication or overlaps). This section will thus focus first on the internal </w:t>
      </w:r>
      <w:r>
        <w:rPr>
          <w:rFonts w:ascii="Times New Roman" w:hAnsi="Times New Roman" w:cs="Times New Roman"/>
          <w:noProof/>
          <w:sz w:val="24"/>
          <w:szCs w:val="24"/>
        </w:rPr>
        <w:t>consistency</w:t>
      </w:r>
      <w:r w:rsidRPr="00A908E5">
        <w:rPr>
          <w:rFonts w:ascii="Times New Roman" w:hAnsi="Times New Roman" w:cs="Times New Roman"/>
          <w:noProof/>
          <w:sz w:val="24"/>
          <w:szCs w:val="24"/>
        </w:rPr>
        <w:t xml:space="preserve"> of </w:t>
      </w:r>
      <w:r>
        <w:rPr>
          <w:rFonts w:ascii="Times New Roman" w:hAnsi="Times New Roman" w:cs="Times New Roman"/>
          <w:noProof/>
          <w:sz w:val="24"/>
          <w:szCs w:val="24"/>
        </w:rPr>
        <w:t xml:space="preserve">the </w:t>
      </w:r>
      <w:r w:rsidRPr="00A908E5">
        <w:rPr>
          <w:rFonts w:ascii="Times New Roman" w:hAnsi="Times New Roman" w:cs="Times New Roman"/>
          <w:noProof/>
          <w:sz w:val="24"/>
          <w:szCs w:val="24"/>
        </w:rPr>
        <w:t>CMLD</w:t>
      </w:r>
      <w:r>
        <w:rPr>
          <w:rFonts w:ascii="Times New Roman" w:hAnsi="Times New Roman" w:cs="Times New Roman"/>
          <w:noProof/>
          <w:sz w:val="24"/>
          <w:szCs w:val="24"/>
        </w:rPr>
        <w:t xml:space="preserve"> and</w:t>
      </w:r>
      <w:r w:rsidRPr="00A908E5">
        <w:rPr>
          <w:rFonts w:ascii="Times New Roman" w:hAnsi="Times New Roman" w:cs="Times New Roman"/>
          <w:noProof/>
          <w:sz w:val="24"/>
          <w:szCs w:val="24"/>
        </w:rPr>
        <w:t xml:space="preserve"> then study the external </w:t>
      </w:r>
      <w:r>
        <w:rPr>
          <w:rFonts w:ascii="Times New Roman" w:hAnsi="Times New Roman" w:cs="Times New Roman"/>
          <w:noProof/>
          <w:sz w:val="24"/>
          <w:szCs w:val="24"/>
        </w:rPr>
        <w:t>consistency</w:t>
      </w:r>
      <w:r w:rsidRPr="00A908E5">
        <w:rPr>
          <w:rFonts w:ascii="Times New Roman" w:hAnsi="Times New Roman" w:cs="Times New Roman"/>
          <w:noProof/>
          <w:sz w:val="24"/>
          <w:szCs w:val="24"/>
        </w:rPr>
        <w:t xml:space="preserve"> of this legal instrument. </w:t>
      </w:r>
    </w:p>
    <w:p w14:paraId="4B26807E" w14:textId="33DA6AA9" w:rsidR="00C87C82" w:rsidRPr="00575CC5" w:rsidRDefault="00C87C82" w:rsidP="00172619">
      <w:pPr>
        <w:jc w:val="both"/>
        <w:rPr>
          <w:rFonts w:ascii="Times New Roman" w:hAnsi="Times New Roman" w:cs="Times New Roman"/>
          <w:b/>
          <w:bCs/>
          <w:i/>
          <w:iCs/>
          <w:noProof/>
          <w:lang w:val="en-IE"/>
        </w:rPr>
      </w:pP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5"/>
        <w:gridCol w:w="2009"/>
        <w:gridCol w:w="2731"/>
        <w:gridCol w:w="2463"/>
      </w:tblGrid>
      <w:tr w:rsidR="00C87C82" w:rsidRPr="00575CC5" w14:paraId="23098B90" w14:textId="77777777">
        <w:trPr>
          <w:trHeight w:val="20"/>
          <w:tblHeader/>
        </w:trPr>
        <w:tc>
          <w:tcPr>
            <w:tcW w:w="923" w:type="pct"/>
            <w:gridSpan w:val="2"/>
            <w:shd w:val="clear" w:color="auto" w:fill="F2F2F2" w:themeFill="background1" w:themeFillShade="F2"/>
          </w:tcPr>
          <w:p w14:paraId="1F1C50AB"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37" w:type="pct"/>
            <w:shd w:val="clear" w:color="auto" w:fill="F2F2F2" w:themeFill="background1" w:themeFillShade="F2"/>
          </w:tcPr>
          <w:p w14:paraId="1C4F835E" w14:textId="1212A3DF"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Sub-questions</w:t>
            </w:r>
          </w:p>
        </w:tc>
        <w:tc>
          <w:tcPr>
            <w:tcW w:w="1546" w:type="pct"/>
            <w:shd w:val="clear" w:color="auto" w:fill="F2F2F2" w:themeFill="background1" w:themeFillShade="F2"/>
          </w:tcPr>
          <w:p w14:paraId="316F7F6C"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Indicators</w:t>
            </w:r>
          </w:p>
        </w:tc>
        <w:tc>
          <w:tcPr>
            <w:tcW w:w="1394" w:type="pct"/>
            <w:shd w:val="clear" w:color="auto" w:fill="F2F2F2" w:themeFill="background1" w:themeFillShade="F2"/>
          </w:tcPr>
          <w:p w14:paraId="1D7816A5"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Data collection methods &amp; sources</w:t>
            </w:r>
          </w:p>
        </w:tc>
      </w:tr>
      <w:tr w:rsidR="00C87C82" w:rsidRPr="00575CC5" w14:paraId="545C55FB" w14:textId="77777777">
        <w:tc>
          <w:tcPr>
            <w:tcW w:w="5000" w:type="pct"/>
            <w:gridSpan w:val="5"/>
            <w:shd w:val="clear" w:color="auto" w:fill="EAF1DD" w:themeFill="accent3" w:themeFillTint="33"/>
          </w:tcPr>
          <w:p w14:paraId="403BE210" w14:textId="77777777" w:rsidR="00C87C82" w:rsidRPr="00575CC5" w:rsidRDefault="00C87C82">
            <w:pPr>
              <w:contextualSpacing/>
              <w:rPr>
                <w:rFonts w:ascii="Times New Roman" w:eastAsia="MingLiU" w:hAnsi="Times New Roman" w:cs="Times New Roman"/>
                <w:b/>
                <w:bCs/>
                <w:i/>
                <w:iCs/>
                <w:noProof/>
                <w:sz w:val="18"/>
                <w:szCs w:val="18"/>
              </w:rPr>
            </w:pPr>
            <w:r w:rsidRPr="00575CC5">
              <w:rPr>
                <w:rFonts w:ascii="Times New Roman" w:eastAsia="MingLiU" w:hAnsi="Times New Roman" w:cs="Times New Roman"/>
                <w:b/>
                <w:bCs/>
                <w:i/>
                <w:iCs/>
                <w:noProof/>
                <w:sz w:val="18"/>
                <w:szCs w:val="18"/>
              </w:rPr>
              <w:t>Coherence</w:t>
            </w:r>
          </w:p>
        </w:tc>
      </w:tr>
      <w:tr w:rsidR="00C87C82" w:rsidRPr="00575CC5" w14:paraId="79ADF7DF" w14:textId="77777777">
        <w:tc>
          <w:tcPr>
            <w:tcW w:w="903" w:type="pct"/>
            <w:vMerge w:val="restart"/>
          </w:tcPr>
          <w:p w14:paraId="755B53AD"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EQ20: Is the Directive coherent with developments in the international context including as international agreements, frameworks etc.?</w:t>
            </w:r>
          </w:p>
        </w:tc>
        <w:tc>
          <w:tcPr>
            <w:tcW w:w="1157" w:type="pct"/>
            <w:gridSpan w:val="2"/>
          </w:tcPr>
          <w:p w14:paraId="4BA5F75A"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EQ20.1: To what extent does the Directive lay down rules in line with international frameworks and standards, such as 2003 United Nations Convention against Transnational Organised Crime (Palermo Convention), 2005 Warsaw Convention, the FATF Recommendations etc.?</w:t>
            </w:r>
          </w:p>
        </w:tc>
        <w:tc>
          <w:tcPr>
            <w:tcW w:w="1546" w:type="pct"/>
          </w:tcPr>
          <w:p w14:paraId="390F19ED"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Degree of alignment between the Directive and relevant international frameworks/standards with regard to provisions on the criminalisation of money laundering, asset freezing and confiscation as well as international cooperation</w:t>
            </w:r>
          </w:p>
        </w:tc>
        <w:tc>
          <w:tcPr>
            <w:tcW w:w="1394" w:type="pct"/>
            <w:vMerge w:val="restart"/>
          </w:tcPr>
          <w:p w14:paraId="136277F6"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 xml:space="preserve">Desk research </w:t>
            </w:r>
          </w:p>
          <w:p w14:paraId="43A0CA32" w14:textId="77777777" w:rsidR="00C87C82" w:rsidRPr="00575CC5" w:rsidRDefault="00C87C82" w:rsidP="00C87C82">
            <w:pPr>
              <w:pStyle w:val="ListParagraph"/>
              <w:numPr>
                <w:ilvl w:val="0"/>
                <w:numId w:val="42"/>
              </w:numPr>
              <w:spacing w:after="0"/>
              <w:ind w:left="360"/>
              <w:jc w:val="left"/>
              <w:rPr>
                <w:rFonts w:eastAsia="MingLiU"/>
                <w:noProof/>
                <w:sz w:val="18"/>
                <w:szCs w:val="18"/>
              </w:rPr>
            </w:pPr>
            <w:r w:rsidRPr="00575CC5">
              <w:rPr>
                <w:rFonts w:eastAsia="MingLiU"/>
                <w:noProof/>
                <w:sz w:val="18"/>
                <w:szCs w:val="18"/>
              </w:rPr>
              <w:t>Surveys and interviews with relevant stakeholders (FATF, OECD, MONEYVAL, TI)</w:t>
            </w:r>
          </w:p>
          <w:p w14:paraId="0A79B1FD" w14:textId="77777777" w:rsidR="00C87C82" w:rsidRPr="00575CC5" w:rsidRDefault="00C87C82" w:rsidP="00C87C82">
            <w:pPr>
              <w:pStyle w:val="ListParagraph"/>
              <w:numPr>
                <w:ilvl w:val="0"/>
                <w:numId w:val="42"/>
              </w:numPr>
              <w:spacing w:after="0"/>
              <w:ind w:left="360"/>
              <w:jc w:val="left"/>
              <w:rPr>
                <w:rFonts w:eastAsia="MingLiU"/>
                <w:noProof/>
                <w:sz w:val="18"/>
                <w:szCs w:val="18"/>
              </w:rPr>
            </w:pPr>
            <w:r w:rsidRPr="00575CC5">
              <w:rPr>
                <w:rFonts w:eastAsia="MingLiU"/>
                <w:noProof/>
                <w:sz w:val="18"/>
                <w:szCs w:val="18"/>
              </w:rPr>
              <w:t>Survey at EU bodies and agencies, incl. discovery interviews with DGs</w:t>
            </w:r>
          </w:p>
        </w:tc>
      </w:tr>
      <w:tr w:rsidR="00C87C82" w:rsidRPr="00575CC5" w14:paraId="1C485239" w14:textId="77777777">
        <w:trPr>
          <w:trHeight w:val="300"/>
        </w:trPr>
        <w:tc>
          <w:tcPr>
            <w:tcW w:w="903" w:type="pct"/>
            <w:vMerge/>
          </w:tcPr>
          <w:p w14:paraId="220B125C" w14:textId="77777777" w:rsidR="00C87C82" w:rsidRPr="00575CC5" w:rsidRDefault="00C87C82">
            <w:pPr>
              <w:rPr>
                <w:rFonts w:ascii="Times New Roman" w:hAnsi="Times New Roman" w:cs="Times New Roman"/>
                <w:noProof/>
              </w:rPr>
            </w:pPr>
          </w:p>
        </w:tc>
        <w:tc>
          <w:tcPr>
            <w:tcW w:w="1157" w:type="pct"/>
            <w:gridSpan w:val="2"/>
          </w:tcPr>
          <w:p w14:paraId="1DCC2013"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EQ20.2: What steps can be taken to address any inconsistencies or conflicts between the Directive and other relevant international instruments?</w:t>
            </w:r>
          </w:p>
        </w:tc>
        <w:tc>
          <w:tcPr>
            <w:tcW w:w="1546" w:type="pct"/>
          </w:tcPr>
          <w:p w14:paraId="3AF74BC6" w14:textId="77777777" w:rsidR="00C87C82" w:rsidRPr="00575CC5" w:rsidRDefault="00C87C82" w:rsidP="00C87C82">
            <w:pPr>
              <w:numPr>
                <w:ilvl w:val="0"/>
                <w:numId w:val="42"/>
              </w:numPr>
              <w:ind w:left="360"/>
              <w:contextualSpacing/>
              <w:rPr>
                <w:rFonts w:ascii="Times New Roman" w:hAnsi="Times New Roman" w:cs="Times New Roman"/>
                <w:noProof/>
                <w:sz w:val="18"/>
                <w:szCs w:val="18"/>
              </w:rPr>
            </w:pPr>
            <w:r w:rsidRPr="00575CC5">
              <w:rPr>
                <w:rFonts w:ascii="Times New Roman" w:hAnsi="Times New Roman" w:cs="Times New Roman"/>
                <w:noProof/>
                <w:sz w:val="18"/>
                <w:szCs w:val="18"/>
              </w:rPr>
              <w:t>Qualitative input from stakeholders on possible ways for further alignment of the Directive with relevant international instruments</w:t>
            </w:r>
          </w:p>
        </w:tc>
        <w:tc>
          <w:tcPr>
            <w:tcW w:w="1394" w:type="pct"/>
            <w:vMerge/>
          </w:tcPr>
          <w:p w14:paraId="3C22C0B9" w14:textId="77777777" w:rsidR="00C87C82" w:rsidRPr="00575CC5" w:rsidRDefault="00C87C82">
            <w:pPr>
              <w:rPr>
                <w:rFonts w:ascii="Times New Roman" w:hAnsi="Times New Roman" w:cs="Times New Roman"/>
                <w:noProof/>
              </w:rPr>
            </w:pPr>
          </w:p>
        </w:tc>
      </w:tr>
    </w:tbl>
    <w:p w14:paraId="1D872675" w14:textId="77777777" w:rsidR="00C87C82" w:rsidRPr="00575CC5" w:rsidRDefault="00C87C82" w:rsidP="00C87C82">
      <w:pPr>
        <w:spacing w:after="0"/>
        <w:jc w:val="both"/>
        <w:rPr>
          <w:rFonts w:ascii="Times New Roman" w:hAnsi="Times New Roman" w:cs="Times New Roman"/>
          <w:noProof/>
          <w:lang w:val="en-IE"/>
        </w:rPr>
      </w:pP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5"/>
        <w:gridCol w:w="2009"/>
        <w:gridCol w:w="2731"/>
        <w:gridCol w:w="2463"/>
      </w:tblGrid>
      <w:tr w:rsidR="00C87C82" w:rsidRPr="00575CC5" w14:paraId="1DB4A2B9" w14:textId="77777777">
        <w:trPr>
          <w:trHeight w:val="20"/>
          <w:tblHeader/>
        </w:trPr>
        <w:tc>
          <w:tcPr>
            <w:tcW w:w="923" w:type="pct"/>
            <w:gridSpan w:val="2"/>
            <w:shd w:val="clear" w:color="auto" w:fill="F2F2F2" w:themeFill="background1" w:themeFillShade="F2"/>
          </w:tcPr>
          <w:p w14:paraId="64DB107F"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37" w:type="pct"/>
            <w:shd w:val="clear" w:color="auto" w:fill="F2F2F2" w:themeFill="background1" w:themeFillShade="F2"/>
          </w:tcPr>
          <w:p w14:paraId="4314C89B" w14:textId="70255C9A"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Sub-questions</w:t>
            </w:r>
          </w:p>
        </w:tc>
        <w:tc>
          <w:tcPr>
            <w:tcW w:w="1546" w:type="pct"/>
            <w:shd w:val="clear" w:color="auto" w:fill="F2F2F2" w:themeFill="background1" w:themeFillShade="F2"/>
          </w:tcPr>
          <w:p w14:paraId="0F60AE70"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Indicators</w:t>
            </w:r>
          </w:p>
        </w:tc>
        <w:tc>
          <w:tcPr>
            <w:tcW w:w="1394" w:type="pct"/>
            <w:shd w:val="clear" w:color="auto" w:fill="F2F2F2" w:themeFill="background1" w:themeFillShade="F2"/>
          </w:tcPr>
          <w:p w14:paraId="0B10C726"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Data collection methods &amp; sources</w:t>
            </w:r>
          </w:p>
        </w:tc>
      </w:tr>
      <w:tr w:rsidR="00C87C82" w:rsidRPr="00575CC5" w14:paraId="04C73F33" w14:textId="77777777">
        <w:tc>
          <w:tcPr>
            <w:tcW w:w="5000" w:type="pct"/>
            <w:gridSpan w:val="5"/>
            <w:shd w:val="clear" w:color="auto" w:fill="EAF1DD" w:themeFill="accent3" w:themeFillTint="33"/>
          </w:tcPr>
          <w:p w14:paraId="35D3433D" w14:textId="18BD15AC" w:rsidR="00C87C82" w:rsidRPr="00575CC5" w:rsidRDefault="00C87C82">
            <w:pPr>
              <w:contextualSpacing/>
              <w:rPr>
                <w:rFonts w:ascii="Times New Roman" w:eastAsia="MingLiU" w:hAnsi="Times New Roman" w:cs="Times New Roman"/>
                <w:b/>
                <w:bCs/>
                <w:i/>
                <w:iCs/>
                <w:noProof/>
                <w:sz w:val="18"/>
                <w:szCs w:val="18"/>
              </w:rPr>
            </w:pPr>
            <w:r w:rsidRPr="00575CC5">
              <w:rPr>
                <w:rFonts w:ascii="Times New Roman" w:eastAsia="MingLiU" w:hAnsi="Times New Roman" w:cs="Times New Roman"/>
                <w:b/>
                <w:bCs/>
                <w:i/>
                <w:iCs/>
                <w:noProof/>
                <w:sz w:val="18"/>
                <w:szCs w:val="18"/>
              </w:rPr>
              <w:t>Coherence</w:t>
            </w:r>
          </w:p>
        </w:tc>
      </w:tr>
      <w:tr w:rsidR="00C87C82" w:rsidRPr="00575CC5" w14:paraId="0E872728" w14:textId="77777777">
        <w:trPr>
          <w:trHeight w:val="1371"/>
        </w:trPr>
        <w:tc>
          <w:tcPr>
            <w:tcW w:w="903" w:type="pct"/>
            <w:vMerge w:val="restart"/>
          </w:tcPr>
          <w:p w14:paraId="6AD0384E"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EQ21: Is the Directive coherent with other relevant EU acts? In particular to what extent does the Directive usefully complement and reinforce the preventative money laundering provisions in light of recent developments? Is this the case for the Directive 2014/42/EU of the European Parliament and of the Council of 3 April 2014 on the freezing and confiscation of instrumentalities and proceeds of crime in the European Union as well as Proposal for a Directive on asset recovery and confiscation?</w:t>
            </w:r>
          </w:p>
        </w:tc>
        <w:tc>
          <w:tcPr>
            <w:tcW w:w="1157" w:type="pct"/>
            <w:gridSpan w:val="2"/>
          </w:tcPr>
          <w:p w14:paraId="510CEBB1"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 xml:space="preserve">EQ21.1: To what extent does the Directive complement and reinforce existing EU acts such as the Directive 2014/42/EU on the freezing and confiscation of instrumentalities and proceeds of crime in the EU? </w:t>
            </w:r>
          </w:p>
        </w:tc>
        <w:tc>
          <w:tcPr>
            <w:tcW w:w="1546" w:type="pct"/>
          </w:tcPr>
          <w:p w14:paraId="77BAB9BE"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 xml:space="preserve">Degree of alignment between the Directive and relevant EU acts </w:t>
            </w:r>
          </w:p>
          <w:p w14:paraId="5174A310"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Qualitative assessment by the stakeholders on the extent to which the Directive has a positive impact on the existing legislative initiatives currently going on in the EU level</w:t>
            </w:r>
          </w:p>
        </w:tc>
        <w:tc>
          <w:tcPr>
            <w:tcW w:w="1394" w:type="pct"/>
            <w:vMerge w:val="restart"/>
          </w:tcPr>
          <w:p w14:paraId="02A06C2A"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 xml:space="preserve">Desk research </w:t>
            </w:r>
          </w:p>
          <w:p w14:paraId="5F624872"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 xml:space="preserve">Survey at EU bodies and agencies, incl. discovery interviews with DGs </w:t>
            </w:r>
          </w:p>
          <w:p w14:paraId="5882184E"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national judicial authorities in EU Member States</w:t>
            </w:r>
          </w:p>
          <w:p w14:paraId="11EB3F7B"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national law enforcement authorities in EU Member States</w:t>
            </w:r>
          </w:p>
          <w:p w14:paraId="08EF0EAE"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Financial Intelligence Units in EU Member States</w:t>
            </w:r>
          </w:p>
          <w:p w14:paraId="5612D724"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Asset Recovery Offices in EU Member States</w:t>
            </w:r>
          </w:p>
          <w:p w14:paraId="2BD4672E"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other stakeholders</w:t>
            </w:r>
          </w:p>
        </w:tc>
      </w:tr>
      <w:tr w:rsidR="00C87C82" w:rsidRPr="00575CC5" w14:paraId="7F55130F" w14:textId="77777777">
        <w:trPr>
          <w:trHeight w:val="1371"/>
        </w:trPr>
        <w:tc>
          <w:tcPr>
            <w:tcW w:w="903" w:type="pct"/>
            <w:vMerge/>
          </w:tcPr>
          <w:p w14:paraId="71F5DC08" w14:textId="77777777" w:rsidR="00C87C82" w:rsidRPr="00575CC5" w:rsidRDefault="00C87C82">
            <w:pPr>
              <w:rPr>
                <w:rFonts w:ascii="Times New Roman" w:hAnsi="Times New Roman" w:cs="Times New Roman"/>
                <w:noProof/>
              </w:rPr>
            </w:pPr>
          </w:p>
        </w:tc>
        <w:tc>
          <w:tcPr>
            <w:tcW w:w="1157" w:type="pct"/>
            <w:gridSpan w:val="2"/>
          </w:tcPr>
          <w:p w14:paraId="00070915"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EQ21.2: In what ways can the Directive better complement and reinforce the objectives outlined in the Directive 2014/42/EU and the Proposal for a Directive on asset recovery and confiscation?</w:t>
            </w:r>
          </w:p>
        </w:tc>
        <w:tc>
          <w:tcPr>
            <w:tcW w:w="1546" w:type="pct"/>
          </w:tcPr>
          <w:p w14:paraId="28F42CF1"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 xml:space="preserve">Qualitative assessment by the stakeholders on how to improve the Directive to better compliment or reinforce </w:t>
            </w:r>
            <w:r w:rsidRPr="00575CC5">
              <w:rPr>
                <w:rFonts w:ascii="Times New Roman" w:eastAsia="MingLiU" w:hAnsi="Times New Roman" w:cs="Times New Roman"/>
                <w:noProof/>
                <w:sz w:val="18"/>
                <w:szCs w:val="18"/>
              </w:rPr>
              <w:t>the objectives outlined in the Directive 2014/42/EU and the Proposal for a Directive on asset recovery and confiscation</w:t>
            </w:r>
          </w:p>
        </w:tc>
        <w:tc>
          <w:tcPr>
            <w:tcW w:w="1394" w:type="pct"/>
            <w:vMerge/>
          </w:tcPr>
          <w:p w14:paraId="3A6CE9E0" w14:textId="77777777" w:rsidR="00C87C82" w:rsidRPr="00575CC5" w:rsidRDefault="00C87C82">
            <w:pPr>
              <w:rPr>
                <w:rFonts w:ascii="Times New Roman" w:hAnsi="Times New Roman" w:cs="Times New Roman"/>
                <w:noProof/>
              </w:rPr>
            </w:pPr>
          </w:p>
        </w:tc>
      </w:tr>
      <w:tr w:rsidR="00C87C82" w:rsidRPr="00575CC5" w14:paraId="60DAB442" w14:textId="77777777">
        <w:trPr>
          <w:trHeight w:val="1308"/>
        </w:trPr>
        <w:tc>
          <w:tcPr>
            <w:tcW w:w="903" w:type="pct"/>
            <w:vMerge/>
          </w:tcPr>
          <w:p w14:paraId="7DC91ABC"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27139AE8"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hAnsi="Times New Roman" w:cs="Times New Roman"/>
                <w:noProof/>
              </w:rPr>
              <w:t xml:space="preserve"> </w:t>
            </w:r>
            <w:r w:rsidRPr="00575CC5">
              <w:rPr>
                <w:rFonts w:ascii="Times New Roman" w:eastAsia="MingLiU" w:hAnsi="Times New Roman" w:cs="Times New Roman"/>
                <w:noProof/>
                <w:sz w:val="18"/>
                <w:szCs w:val="18"/>
              </w:rPr>
              <w:t>EQ21.3: To what extent does the Directive complement and reinforce other existing initiatives at the EU level, (e.g., Regulation (EU) 2023/1114 (MiCA), Regulation (EU) 2023/1113 for information accompanying Transfer of Funds, Directive 2019/1153 on the use of financial and other information for certain criminal offences, Directive (EU) 2023/977 on the exchange of information between law enforcement authorities of Member States)?</w:t>
            </w:r>
          </w:p>
        </w:tc>
        <w:tc>
          <w:tcPr>
            <w:tcW w:w="1546" w:type="pct"/>
          </w:tcPr>
          <w:p w14:paraId="362A6C75"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Qualitative assessment by the stakeholder stakeholders on the extent to which the Directive has a positive impact on the existing initiatives on EU level to strengthen the EU’s AML rules</w:t>
            </w:r>
          </w:p>
        </w:tc>
        <w:tc>
          <w:tcPr>
            <w:tcW w:w="1394" w:type="pct"/>
            <w:vMerge/>
          </w:tcPr>
          <w:p w14:paraId="148F847F"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bl>
    <w:p w14:paraId="60502CE3" w14:textId="4F82A6D4" w:rsidR="00C87C82" w:rsidRPr="00575CC5" w:rsidRDefault="00C87C82" w:rsidP="00C87C82">
      <w:pPr>
        <w:rPr>
          <w:rFonts w:ascii="Times New Roman" w:hAnsi="Times New Roman" w:cs="Times New Roman"/>
          <w:noProof/>
          <w:szCs w:val="24"/>
          <w:lang w:val="en-IE"/>
        </w:rPr>
      </w:pPr>
    </w:p>
    <w:p w14:paraId="506094BF" w14:textId="781F958F" w:rsidR="00C87C82" w:rsidRPr="00575CC5" w:rsidRDefault="00C87C82" w:rsidP="00C87C82">
      <w:pPr>
        <w:pStyle w:val="Heading2"/>
        <w:numPr>
          <w:ilvl w:val="0"/>
          <w:numId w:val="28"/>
        </w:numPr>
        <w:rPr>
          <w:noProof/>
        </w:rPr>
      </w:pPr>
      <w:bookmarkStart w:id="94" w:name="_Toc218852114"/>
      <w:bookmarkStart w:id="95" w:name="_Toc223439278"/>
      <w:r w:rsidRPr="00575CC5">
        <w:rPr>
          <w:noProof/>
        </w:rPr>
        <w:t>EU added value</w:t>
      </w:r>
      <w:bookmarkEnd w:id="94"/>
      <w:bookmarkEnd w:id="95"/>
    </w:p>
    <w:p w14:paraId="5CA4E04B" w14:textId="692E38AC" w:rsidR="00C87C82" w:rsidRPr="00575CC5" w:rsidRDefault="00C87C82" w:rsidP="008A47B8">
      <w:pPr>
        <w:jc w:val="both"/>
        <w:rPr>
          <w:rFonts w:ascii="Times New Roman" w:hAnsi="Times New Roman" w:cs="Times New Roman"/>
          <w:noProof/>
          <w:sz w:val="24"/>
          <w:szCs w:val="24"/>
        </w:rPr>
      </w:pPr>
      <w:r w:rsidRPr="00575CC5">
        <w:rPr>
          <w:rFonts w:ascii="Times New Roman" w:hAnsi="Times New Roman" w:cs="Times New Roman"/>
          <w:noProof/>
          <w:sz w:val="24"/>
          <w:szCs w:val="24"/>
        </w:rPr>
        <w:t xml:space="preserve">As described in Tool #47 of the Better Regulation Guidelines, the criterion of EU added value looks for changes that are due to the EU intervention, over and above what could reasonably have been expected from national actions by the Member State. As outlined within Article 5 of the Treaty on EU on the principle of subsidiarity, EU action is only desirable when the objectives of legislative action can be better achieved by the EU rather than by the Member States.  </w:t>
      </w:r>
    </w:p>
    <w:tbl>
      <w:tblPr>
        <w:tblStyle w:val="Deloittetable4"/>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2029"/>
        <w:gridCol w:w="2717"/>
        <w:gridCol w:w="2450"/>
      </w:tblGrid>
      <w:tr w:rsidR="00C87C82" w:rsidRPr="00575CC5" w14:paraId="10873CFF" w14:textId="77777777" w:rsidTr="004D76DA">
        <w:trPr>
          <w:trHeight w:val="20"/>
          <w:tblHeader/>
        </w:trPr>
        <w:tc>
          <w:tcPr>
            <w:tcW w:w="926" w:type="pct"/>
            <w:shd w:val="clear" w:color="auto" w:fill="F2F2F2" w:themeFill="background1" w:themeFillShade="F2"/>
          </w:tcPr>
          <w:p w14:paraId="10A35984"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49" w:type="pct"/>
            <w:shd w:val="clear" w:color="auto" w:fill="F2F2F2" w:themeFill="background1" w:themeFillShade="F2"/>
          </w:tcPr>
          <w:p w14:paraId="65ADE1E3" w14:textId="645E81CB"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Sub-questions</w:t>
            </w:r>
          </w:p>
        </w:tc>
        <w:tc>
          <w:tcPr>
            <w:tcW w:w="1538" w:type="pct"/>
            <w:shd w:val="clear" w:color="auto" w:fill="F2F2F2" w:themeFill="background1" w:themeFillShade="F2"/>
          </w:tcPr>
          <w:p w14:paraId="5ABF9F80"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Indicators</w:t>
            </w:r>
          </w:p>
        </w:tc>
        <w:tc>
          <w:tcPr>
            <w:tcW w:w="1386" w:type="pct"/>
            <w:shd w:val="clear" w:color="auto" w:fill="F2F2F2" w:themeFill="background1" w:themeFillShade="F2"/>
          </w:tcPr>
          <w:p w14:paraId="0456C9C5"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Data collection methods &amp; sources</w:t>
            </w:r>
          </w:p>
        </w:tc>
      </w:tr>
      <w:tr w:rsidR="00C87C82" w:rsidRPr="00575CC5" w14:paraId="222D980B" w14:textId="77777777">
        <w:trPr>
          <w:trHeight w:val="20"/>
        </w:trPr>
        <w:tc>
          <w:tcPr>
            <w:tcW w:w="5000" w:type="pct"/>
            <w:gridSpan w:val="4"/>
            <w:shd w:val="clear" w:color="auto" w:fill="EAF1DD" w:themeFill="accent3" w:themeFillTint="33"/>
          </w:tcPr>
          <w:p w14:paraId="2F3BBF7B" w14:textId="77777777" w:rsidR="00C87C82" w:rsidRPr="00575CC5" w:rsidRDefault="00C87C82">
            <w:pPr>
              <w:spacing w:after="120"/>
              <w:rPr>
                <w:rFonts w:ascii="Times New Roman" w:eastAsia="MingLiU" w:hAnsi="Times New Roman" w:cs="Times New Roman"/>
                <w:b/>
                <w:bCs/>
                <w:i/>
                <w:iCs/>
                <w:noProof/>
                <w:sz w:val="18"/>
                <w:szCs w:val="18"/>
              </w:rPr>
            </w:pPr>
            <w:r w:rsidRPr="00575CC5">
              <w:rPr>
                <w:rFonts w:ascii="Times New Roman" w:eastAsia="MingLiU" w:hAnsi="Times New Roman" w:cs="Times New Roman"/>
                <w:b/>
                <w:bCs/>
                <w:i/>
                <w:iCs/>
                <w:noProof/>
                <w:sz w:val="18"/>
                <w:szCs w:val="18"/>
              </w:rPr>
              <w:t>EU Added Value</w:t>
            </w:r>
          </w:p>
        </w:tc>
      </w:tr>
      <w:tr w:rsidR="00C87C82" w:rsidRPr="00575CC5" w14:paraId="74362C92" w14:textId="77777777" w:rsidTr="004D76DA">
        <w:trPr>
          <w:trHeight w:val="1321"/>
        </w:trPr>
        <w:tc>
          <w:tcPr>
            <w:tcW w:w="926" w:type="pct"/>
            <w:vMerge w:val="restart"/>
          </w:tcPr>
          <w:p w14:paraId="4A2EA6FA"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EQ22: To what extent has the Directive generated EU added value as opposed to what could have been achieved by Member States on their own (also taking into account their requirements under international law and standards such as the Warsaw Convention or FATF recommendations)?</w:t>
            </w:r>
          </w:p>
        </w:tc>
        <w:tc>
          <w:tcPr>
            <w:tcW w:w="1149" w:type="pct"/>
          </w:tcPr>
          <w:p w14:paraId="7AC89B82"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EQ22.1:  To what extent have specific legal, technical, and operational advantages been realised at the EU level as a result of the implementation of the EU Directive 2018/1673, in comparison to the potential outcomes if Member States had acted independently?</w:t>
            </w:r>
          </w:p>
        </w:tc>
        <w:tc>
          <w:tcPr>
            <w:tcW w:w="1538" w:type="pct"/>
          </w:tcPr>
          <w:p w14:paraId="7D02D07F"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Qualitative assessment by the stakeholders on the extent to which the Directive provides added value in the fight against money laundering as compared to potential outcomes from the Member States’ individual approach</w:t>
            </w:r>
          </w:p>
        </w:tc>
        <w:tc>
          <w:tcPr>
            <w:tcW w:w="1386" w:type="pct"/>
            <w:vMerge w:val="restart"/>
          </w:tcPr>
          <w:p w14:paraId="70058528"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national judicial authorities in EU Member States</w:t>
            </w:r>
          </w:p>
          <w:p w14:paraId="1ED23476"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national law enforcement authorities in EU Member States</w:t>
            </w:r>
          </w:p>
          <w:p w14:paraId="0133601F"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Financial Intelligence Units in EU Member States</w:t>
            </w:r>
          </w:p>
          <w:p w14:paraId="2AFB4327"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Asset Recovery Offices in EU Member States</w:t>
            </w:r>
          </w:p>
          <w:p w14:paraId="044C0A5C" w14:textId="77777777" w:rsidR="00C87C82" w:rsidRPr="00575CC5" w:rsidRDefault="00C87C82">
            <w:pPr>
              <w:ind w:left="2061"/>
              <w:contextualSpacing/>
              <w:rPr>
                <w:rFonts w:ascii="Times New Roman" w:eastAsia="MingLiU" w:hAnsi="Times New Roman" w:cs="Times New Roman"/>
                <w:noProof/>
                <w:sz w:val="18"/>
                <w:szCs w:val="18"/>
              </w:rPr>
            </w:pPr>
          </w:p>
        </w:tc>
      </w:tr>
      <w:tr w:rsidR="00C87C82" w:rsidRPr="00575CC5" w14:paraId="7A54A2A9" w14:textId="77777777" w:rsidTr="004D76DA">
        <w:trPr>
          <w:trHeight w:val="1321"/>
        </w:trPr>
        <w:tc>
          <w:tcPr>
            <w:tcW w:w="926" w:type="pct"/>
            <w:vMerge/>
          </w:tcPr>
          <w:p w14:paraId="5D58C7A0" w14:textId="77777777" w:rsidR="00C87C82" w:rsidRPr="00575CC5" w:rsidRDefault="00C87C82">
            <w:pPr>
              <w:rPr>
                <w:rFonts w:ascii="Times New Roman" w:eastAsia="MingLiU" w:hAnsi="Times New Roman" w:cs="Times New Roman"/>
                <w:noProof/>
                <w:sz w:val="18"/>
                <w:szCs w:val="18"/>
              </w:rPr>
            </w:pPr>
          </w:p>
        </w:tc>
        <w:tc>
          <w:tcPr>
            <w:tcW w:w="1149" w:type="pct"/>
          </w:tcPr>
          <w:p w14:paraId="31EF1A9F" w14:textId="77777777" w:rsidR="00C87C82" w:rsidRPr="00575CC5" w:rsidRDefault="00C87C82">
            <w:pPr>
              <w:contextualSpacing/>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EQ22.2: To what extent has the Directive provided additional incentive to Member States in the fight against money laundering compared to what has been required under their international law obligations?</w:t>
            </w:r>
          </w:p>
        </w:tc>
        <w:tc>
          <w:tcPr>
            <w:tcW w:w="1538" w:type="pct"/>
          </w:tcPr>
          <w:p w14:paraId="3CDD02E7" w14:textId="77777777" w:rsidR="00C87C82" w:rsidRPr="00575CC5" w:rsidRDefault="00C87C82" w:rsidP="00C87C82">
            <w:pPr>
              <w:numPr>
                <w:ilvl w:val="0"/>
                <w:numId w:val="42"/>
              </w:numPr>
              <w:ind w:left="360"/>
              <w:contextualSpacing/>
              <w:rPr>
                <w:rFonts w:ascii="Times New Roman" w:eastAsia="MingLiU" w:hAnsi="Times New Roman" w:cs="Times New Roman"/>
                <w:noProof/>
                <w:sz w:val="18"/>
                <w:szCs w:val="18"/>
              </w:rPr>
            </w:pPr>
            <w:r w:rsidRPr="00575CC5">
              <w:rPr>
                <w:rFonts w:ascii="Times New Roman" w:hAnsi="Times New Roman" w:cs="Times New Roman"/>
                <w:noProof/>
                <w:sz w:val="18"/>
                <w:szCs w:val="18"/>
              </w:rPr>
              <w:t>Qualitative assessment by the stakeholders</w:t>
            </w:r>
            <w:r w:rsidRPr="00575CC5">
              <w:rPr>
                <w:rFonts w:ascii="Times New Roman" w:eastAsia="MingLiU" w:hAnsi="Times New Roman" w:cs="Times New Roman"/>
                <w:noProof/>
                <w:sz w:val="18"/>
                <w:szCs w:val="18"/>
              </w:rPr>
              <w:t xml:space="preserve"> on the extent to which the Directive provided additional incentive to Member States in the fight against money laundering as compared to relevant obligations under international law</w:t>
            </w:r>
          </w:p>
        </w:tc>
        <w:tc>
          <w:tcPr>
            <w:tcW w:w="1386" w:type="pct"/>
            <w:vMerge/>
          </w:tcPr>
          <w:p w14:paraId="05C53A27" w14:textId="77777777" w:rsidR="00C87C82" w:rsidRPr="00575CC5" w:rsidRDefault="00C87C82" w:rsidP="00C87C82">
            <w:pPr>
              <w:numPr>
                <w:ilvl w:val="0"/>
                <w:numId w:val="35"/>
              </w:numPr>
              <w:contextualSpacing/>
              <w:rPr>
                <w:rFonts w:ascii="Times New Roman" w:eastAsia="MingLiU" w:hAnsi="Times New Roman" w:cs="Times New Roman"/>
                <w:noProof/>
                <w:sz w:val="18"/>
                <w:szCs w:val="18"/>
              </w:rPr>
            </w:pPr>
          </w:p>
        </w:tc>
      </w:tr>
    </w:tbl>
    <w:p w14:paraId="78A6A629" w14:textId="77777777" w:rsidR="00C87C82" w:rsidRPr="00575CC5" w:rsidRDefault="00C87C82" w:rsidP="00C87C82">
      <w:pPr>
        <w:rPr>
          <w:rFonts w:ascii="Times New Roman" w:hAnsi="Times New Roman" w:cs="Times New Roman"/>
          <w:noProof/>
          <w:sz w:val="24"/>
          <w:szCs w:val="24"/>
        </w:rPr>
      </w:pPr>
    </w:p>
    <w:p w14:paraId="244E072A" w14:textId="4FC35326" w:rsidR="00C87C82" w:rsidRPr="00575CC5" w:rsidRDefault="00C87C82" w:rsidP="00C87C82">
      <w:pPr>
        <w:pStyle w:val="Heading2"/>
        <w:numPr>
          <w:ilvl w:val="0"/>
          <w:numId w:val="28"/>
        </w:numPr>
        <w:rPr>
          <w:noProof/>
        </w:rPr>
      </w:pPr>
      <w:bookmarkStart w:id="96" w:name="_Toc218852115"/>
      <w:bookmarkStart w:id="97" w:name="_Toc223439279"/>
      <w:r w:rsidRPr="00575CC5">
        <w:rPr>
          <w:noProof/>
        </w:rPr>
        <w:t>Fundamental rights</w:t>
      </w:r>
      <w:bookmarkEnd w:id="96"/>
      <w:bookmarkEnd w:id="97"/>
    </w:p>
    <w:p w14:paraId="7163E9EA" w14:textId="2C9BAC75" w:rsidR="00C87C82" w:rsidRPr="00575CC5" w:rsidRDefault="00C87C82" w:rsidP="00A56091">
      <w:pPr>
        <w:jc w:val="both"/>
        <w:rPr>
          <w:rFonts w:ascii="Times New Roman" w:hAnsi="Times New Roman" w:cs="Times New Roman"/>
          <w:noProof/>
          <w:sz w:val="24"/>
          <w:szCs w:val="24"/>
        </w:rPr>
      </w:pPr>
      <w:r w:rsidRPr="00575CC5">
        <w:rPr>
          <w:rFonts w:ascii="Times New Roman" w:hAnsi="Times New Roman" w:cs="Times New Roman"/>
          <w:noProof/>
          <w:sz w:val="24"/>
          <w:szCs w:val="24"/>
        </w:rPr>
        <w:t xml:space="preserve">According to the Better Regulation Guidelines there is </w:t>
      </w:r>
      <w:r w:rsidR="002B748B">
        <w:rPr>
          <w:rFonts w:ascii="Times New Roman" w:hAnsi="Times New Roman" w:cs="Times New Roman"/>
          <w:noProof/>
          <w:sz w:val="24"/>
          <w:szCs w:val="24"/>
        </w:rPr>
        <w:t>the option of</w:t>
      </w:r>
      <w:r w:rsidRPr="00575CC5">
        <w:rPr>
          <w:rFonts w:ascii="Times New Roman" w:hAnsi="Times New Roman" w:cs="Times New Roman"/>
          <w:noProof/>
          <w:sz w:val="24"/>
          <w:szCs w:val="24"/>
        </w:rPr>
        <w:t xml:space="preserve"> includ</w:t>
      </w:r>
      <w:r w:rsidR="00E53D41">
        <w:rPr>
          <w:rFonts w:ascii="Times New Roman" w:hAnsi="Times New Roman" w:cs="Times New Roman"/>
          <w:noProof/>
          <w:sz w:val="24"/>
          <w:szCs w:val="24"/>
        </w:rPr>
        <w:t>ing</w:t>
      </w:r>
      <w:r w:rsidRPr="00575CC5">
        <w:rPr>
          <w:rFonts w:ascii="Times New Roman" w:hAnsi="Times New Roman" w:cs="Times New Roman"/>
          <w:noProof/>
          <w:sz w:val="24"/>
          <w:szCs w:val="24"/>
        </w:rPr>
        <w:t xml:space="preserve"> additional criteria for the sake of the study, including an evaluation of fundamental rights. </w:t>
      </w:r>
      <w:r w:rsidR="000E0982">
        <w:rPr>
          <w:rFonts w:ascii="Times New Roman" w:hAnsi="Times New Roman" w:cs="Times New Roman"/>
          <w:noProof/>
          <w:sz w:val="24"/>
          <w:szCs w:val="24"/>
        </w:rPr>
        <w:t>from the study is also based on</w:t>
      </w:r>
      <w:r w:rsidRPr="00575CC5">
        <w:rPr>
          <w:rFonts w:ascii="Times New Roman" w:hAnsi="Times New Roman" w:cs="Times New Roman"/>
          <w:noProof/>
          <w:sz w:val="24"/>
          <w:szCs w:val="24"/>
        </w:rPr>
        <w:t xml:space="preserve"> Article 14(2) of Directive (EU) 2018/1673, which stipulates that the evaluation will also look at the instrument’s impact on fundamental rights and freedoms. According to Tool#29 from</w:t>
      </w:r>
      <w:r w:rsidR="000E0982">
        <w:rPr>
          <w:rFonts w:ascii="Times New Roman" w:hAnsi="Times New Roman" w:cs="Times New Roman"/>
          <w:noProof/>
          <w:sz w:val="24"/>
          <w:szCs w:val="24"/>
        </w:rPr>
        <w:t xml:space="preserve"> the</w:t>
      </w:r>
      <w:r w:rsidRPr="00575CC5">
        <w:rPr>
          <w:rFonts w:ascii="Times New Roman" w:hAnsi="Times New Roman" w:cs="Times New Roman"/>
          <w:noProof/>
          <w:sz w:val="24"/>
          <w:szCs w:val="24"/>
        </w:rPr>
        <w:t xml:space="preserve"> Better Regulation Toolbox 2023 policy options can have both positive and negative </w:t>
      </w:r>
      <w:r w:rsidR="0049726C">
        <w:rPr>
          <w:rFonts w:ascii="Times New Roman" w:hAnsi="Times New Roman" w:cs="Times New Roman"/>
          <w:noProof/>
          <w:sz w:val="24"/>
          <w:szCs w:val="24"/>
        </w:rPr>
        <w:t>effects</w:t>
      </w:r>
      <w:r w:rsidR="0049726C" w:rsidRPr="00575CC5">
        <w:rPr>
          <w:rFonts w:ascii="Times New Roman" w:hAnsi="Times New Roman" w:cs="Times New Roman"/>
          <w:noProof/>
          <w:sz w:val="24"/>
          <w:szCs w:val="24"/>
        </w:rPr>
        <w:t xml:space="preserve"> </w:t>
      </w:r>
      <w:r w:rsidRPr="00575CC5">
        <w:rPr>
          <w:rFonts w:ascii="Times New Roman" w:hAnsi="Times New Roman" w:cs="Times New Roman"/>
          <w:noProof/>
          <w:sz w:val="24"/>
          <w:szCs w:val="24"/>
        </w:rPr>
        <w:t xml:space="preserve">on fundamental rights. Furthermore, in </w:t>
      </w:r>
      <w:r w:rsidR="0049726C">
        <w:rPr>
          <w:rFonts w:ascii="Times New Roman" w:hAnsi="Times New Roman" w:cs="Times New Roman"/>
          <w:noProof/>
          <w:sz w:val="24"/>
          <w:szCs w:val="24"/>
        </w:rPr>
        <w:t xml:space="preserve">the </w:t>
      </w:r>
      <w:r w:rsidRPr="00575CC5">
        <w:rPr>
          <w:rFonts w:ascii="Times New Roman" w:hAnsi="Times New Roman" w:cs="Times New Roman"/>
          <w:noProof/>
          <w:sz w:val="24"/>
          <w:szCs w:val="24"/>
        </w:rPr>
        <w:t xml:space="preserve">case of </w:t>
      </w:r>
      <w:r w:rsidR="0049726C">
        <w:rPr>
          <w:rFonts w:ascii="Times New Roman" w:hAnsi="Times New Roman" w:cs="Times New Roman"/>
          <w:noProof/>
          <w:sz w:val="24"/>
          <w:szCs w:val="24"/>
        </w:rPr>
        <w:t>adverse effects,</w:t>
      </w:r>
      <w:r w:rsidR="0049726C" w:rsidRPr="00575CC5">
        <w:rPr>
          <w:rFonts w:ascii="Times New Roman" w:hAnsi="Times New Roman" w:cs="Times New Roman"/>
          <w:noProof/>
          <w:sz w:val="24"/>
          <w:szCs w:val="24"/>
        </w:rPr>
        <w:t xml:space="preserve"> </w:t>
      </w:r>
      <w:r w:rsidR="0049726C">
        <w:rPr>
          <w:rFonts w:ascii="Times New Roman" w:hAnsi="Times New Roman" w:cs="Times New Roman"/>
          <w:noProof/>
          <w:sz w:val="24"/>
          <w:szCs w:val="24"/>
        </w:rPr>
        <w:t>effects</w:t>
      </w:r>
      <w:r w:rsidR="0049726C" w:rsidRPr="00575CC5">
        <w:rPr>
          <w:rFonts w:ascii="Times New Roman" w:hAnsi="Times New Roman" w:cs="Times New Roman"/>
          <w:noProof/>
          <w:sz w:val="24"/>
          <w:szCs w:val="24"/>
        </w:rPr>
        <w:t xml:space="preserve"> </w:t>
      </w:r>
      <w:r w:rsidRPr="00575CC5">
        <w:rPr>
          <w:rFonts w:ascii="Times New Roman" w:hAnsi="Times New Roman" w:cs="Times New Roman"/>
          <w:noProof/>
          <w:sz w:val="24"/>
          <w:szCs w:val="24"/>
        </w:rPr>
        <w:t>any limitations to fundamental rights can only be justified if they meet the requirement of necessity and proportionality.</w:t>
      </w:r>
    </w:p>
    <w:tbl>
      <w:tblPr>
        <w:tblStyle w:val="Deloittetable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37"/>
        <w:gridCol w:w="2007"/>
        <w:gridCol w:w="2731"/>
        <w:gridCol w:w="2463"/>
      </w:tblGrid>
      <w:tr w:rsidR="00C87C82" w:rsidRPr="00575CC5" w14:paraId="45D43C4F" w14:textId="77777777">
        <w:trPr>
          <w:trHeight w:val="20"/>
          <w:tblHeader/>
        </w:trPr>
        <w:tc>
          <w:tcPr>
            <w:tcW w:w="924" w:type="pct"/>
            <w:gridSpan w:val="2"/>
            <w:shd w:val="clear" w:color="auto" w:fill="F2F2F2" w:themeFill="background1" w:themeFillShade="F2"/>
          </w:tcPr>
          <w:p w14:paraId="17D003DB" w14:textId="77777777" w:rsidR="00C87C82" w:rsidRPr="00575CC5" w:rsidRDefault="00C87C82">
            <w:pPr>
              <w:rPr>
                <w:rFonts w:ascii="Times New Roman" w:eastAsia="MingLiU" w:hAnsi="Times New Roman" w:cs="Times New Roman"/>
                <w:b/>
                <w:bCs/>
                <w:noProof/>
                <w:sz w:val="18"/>
                <w:szCs w:val="18"/>
              </w:rPr>
            </w:pPr>
            <w:r w:rsidRPr="00575CC5">
              <w:rPr>
                <w:rFonts w:ascii="Times New Roman" w:eastAsia="MingLiU" w:hAnsi="Times New Roman" w:cs="Times New Roman"/>
                <w:b/>
                <w:bCs/>
                <w:noProof/>
                <w:sz w:val="18"/>
                <w:szCs w:val="18"/>
              </w:rPr>
              <w:t>Evaluation question</w:t>
            </w:r>
          </w:p>
        </w:tc>
        <w:tc>
          <w:tcPr>
            <w:tcW w:w="1136" w:type="pct"/>
            <w:shd w:val="clear" w:color="auto" w:fill="F2F2F2" w:themeFill="background1" w:themeFillShade="F2"/>
          </w:tcPr>
          <w:p w14:paraId="223094D8" w14:textId="18A640B6"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Sub-questions</w:t>
            </w:r>
          </w:p>
        </w:tc>
        <w:tc>
          <w:tcPr>
            <w:tcW w:w="1546" w:type="pct"/>
            <w:shd w:val="clear" w:color="auto" w:fill="F2F2F2" w:themeFill="background1" w:themeFillShade="F2"/>
          </w:tcPr>
          <w:p w14:paraId="3CCAE35B"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Indicators</w:t>
            </w:r>
          </w:p>
        </w:tc>
        <w:tc>
          <w:tcPr>
            <w:tcW w:w="1394" w:type="pct"/>
            <w:shd w:val="clear" w:color="auto" w:fill="F2F2F2" w:themeFill="background1" w:themeFillShade="F2"/>
          </w:tcPr>
          <w:p w14:paraId="4E80FF70" w14:textId="77777777" w:rsidR="00C87C82" w:rsidRPr="00575CC5" w:rsidRDefault="00C87C82">
            <w:pPr>
              <w:rPr>
                <w:rFonts w:ascii="Times New Roman" w:eastAsia="MingLiU" w:hAnsi="Times New Roman" w:cs="Times New Roman"/>
                <w:b/>
                <w:bCs/>
                <w:noProof/>
                <w:sz w:val="18"/>
                <w:szCs w:val="18"/>
                <w:lang w:val="fr-BE"/>
              </w:rPr>
            </w:pPr>
            <w:r w:rsidRPr="00575CC5">
              <w:rPr>
                <w:rFonts w:ascii="Times New Roman" w:eastAsia="MingLiU" w:hAnsi="Times New Roman" w:cs="Times New Roman"/>
                <w:b/>
                <w:bCs/>
                <w:noProof/>
                <w:sz w:val="18"/>
                <w:szCs w:val="18"/>
                <w:lang w:val="fr-BE"/>
              </w:rPr>
              <w:t>Data collection methods &amp; sources</w:t>
            </w:r>
          </w:p>
        </w:tc>
      </w:tr>
      <w:tr w:rsidR="00C87C82" w:rsidRPr="00575CC5" w14:paraId="67B7EE51" w14:textId="77777777">
        <w:trPr>
          <w:trHeight w:val="25"/>
        </w:trPr>
        <w:tc>
          <w:tcPr>
            <w:tcW w:w="5000" w:type="pct"/>
            <w:gridSpan w:val="5"/>
            <w:shd w:val="clear" w:color="auto" w:fill="EAF1DD" w:themeFill="accent3" w:themeFillTint="33"/>
          </w:tcPr>
          <w:p w14:paraId="7A1A8D9E" w14:textId="77777777" w:rsidR="00C87C82" w:rsidRPr="00575CC5" w:rsidRDefault="00C87C82">
            <w:pPr>
              <w:spacing w:after="120"/>
              <w:rPr>
                <w:rFonts w:ascii="Times New Roman" w:eastAsia="MingLiU" w:hAnsi="Times New Roman" w:cs="Times New Roman"/>
                <w:b/>
                <w:bCs/>
                <w:i/>
                <w:iCs/>
                <w:noProof/>
                <w:sz w:val="18"/>
                <w:szCs w:val="18"/>
                <w:lang w:val="fr-BE"/>
              </w:rPr>
            </w:pPr>
            <w:r w:rsidRPr="00575CC5">
              <w:rPr>
                <w:rFonts w:ascii="Times New Roman" w:eastAsia="MingLiU" w:hAnsi="Times New Roman" w:cs="Times New Roman"/>
                <w:b/>
                <w:bCs/>
                <w:i/>
                <w:iCs/>
                <w:noProof/>
                <w:sz w:val="18"/>
                <w:szCs w:val="18"/>
                <w:lang w:val="fr-BE"/>
              </w:rPr>
              <w:t>Fundamental Rights</w:t>
            </w:r>
          </w:p>
        </w:tc>
      </w:tr>
      <w:tr w:rsidR="00C87C82" w:rsidRPr="00575CC5" w14:paraId="2844646E" w14:textId="77777777">
        <w:trPr>
          <w:trHeight w:val="1861"/>
        </w:trPr>
        <w:tc>
          <w:tcPr>
            <w:tcW w:w="903" w:type="pct"/>
            <w:vMerge w:val="restart"/>
          </w:tcPr>
          <w:p w14:paraId="163E8673"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EQ25: What has been the impact of the implementation of the Directive on fundamental rights and freedoms as enshrined in the Charter of Fundamental Rights of the European Union, including those set out in Titles II, III, V and VI which encompass, inter alia, the right to respect for private and family life and the right to protection of personal data, the right to freedom of association, the right to property, the principles of legality and proportionality of criminal offences and penalties, covering also the requirement of precision, clarity and foreseeability in criminal law, the presumption of innocence, as well as the rights of suspects and accused persons to have access to a lawyer, the right not to incriminate oneself and the right to a fair trial?</w:t>
            </w:r>
          </w:p>
        </w:tc>
        <w:tc>
          <w:tcPr>
            <w:tcW w:w="1157" w:type="pct"/>
            <w:gridSpan w:val="2"/>
          </w:tcPr>
          <w:p w14:paraId="77B8A844"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EQ25.1: </w:t>
            </w:r>
            <w:r w:rsidRPr="00575CC5">
              <w:rPr>
                <w:rFonts w:ascii="Times New Roman" w:eastAsia="Verdana" w:hAnsi="Times New Roman" w:cs="Times New Roman"/>
                <w:noProof/>
                <w:sz w:val="18"/>
                <w:szCs w:val="18"/>
                <w:lang w:val="en-IE"/>
              </w:rPr>
              <w:t xml:space="preserve"> How has the implementation of the Directive affected the protection of private and family life, as well as the safeguarding of personal data, in accordance with the Charter of Fundamental Rights of the European Union?</w:t>
            </w:r>
          </w:p>
        </w:tc>
        <w:tc>
          <w:tcPr>
            <w:tcW w:w="1546" w:type="pct"/>
          </w:tcPr>
          <w:p w14:paraId="021C2547"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noProof/>
                <w:sz w:val="18"/>
                <w:szCs w:val="18"/>
              </w:rPr>
              <w:t>Qualitative assessment by the</w:t>
            </w:r>
            <w:r w:rsidRPr="00575CC5">
              <w:rPr>
                <w:rFonts w:eastAsia="MingLiU"/>
                <w:noProof/>
                <w:sz w:val="18"/>
                <w:szCs w:val="18"/>
              </w:rPr>
              <w:t xml:space="preserve"> stakeholders on the impact of the Directive on fundamental rights and freedoms as enshrined in the Charter of Fundamental Rights of the </w:t>
            </w:r>
            <w:r w:rsidRPr="00575CC5">
              <w:rPr>
                <w:rFonts w:eastAsia="Verdana"/>
                <w:noProof/>
                <w:sz w:val="18"/>
                <w:szCs w:val="18"/>
              </w:rPr>
              <w:t>European Union</w:t>
            </w:r>
          </w:p>
        </w:tc>
        <w:tc>
          <w:tcPr>
            <w:tcW w:w="1394" w:type="pct"/>
            <w:vMerge w:val="restart"/>
          </w:tcPr>
          <w:p w14:paraId="0CCECFEA"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think-thanks, academic institutions</w:t>
            </w:r>
          </w:p>
          <w:p w14:paraId="750B038C"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national judicial authorities in EU Member States</w:t>
            </w:r>
          </w:p>
          <w:p w14:paraId="429403E4"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national law enforcement authorities in EU Member States</w:t>
            </w:r>
          </w:p>
          <w:p w14:paraId="43661E11"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Financial Intelligence Units</w:t>
            </w:r>
          </w:p>
          <w:p w14:paraId="3F9C3CA8"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Surveys targeted at Asset Recovery Offices in EU Member States</w:t>
            </w:r>
          </w:p>
          <w:p w14:paraId="67CFC1A2"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 targeted at EU bodies and agencies (e.g., FRA)</w:t>
            </w:r>
          </w:p>
        </w:tc>
      </w:tr>
      <w:tr w:rsidR="00C87C82" w:rsidRPr="00575CC5" w14:paraId="57AA2C7F" w14:textId="77777777">
        <w:trPr>
          <w:trHeight w:val="1048"/>
        </w:trPr>
        <w:tc>
          <w:tcPr>
            <w:tcW w:w="903" w:type="pct"/>
            <w:vMerge/>
          </w:tcPr>
          <w:p w14:paraId="62CD9E1C"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05378353"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EQ25.2:  To what extent has the Directive impacted the freedom of association among individuals and organisations, considering the provisions outlined in the relevant sections of the Charter of Fundamental Rights of the European Union?</w:t>
            </w:r>
          </w:p>
        </w:tc>
        <w:tc>
          <w:tcPr>
            <w:tcW w:w="1546" w:type="pct"/>
          </w:tcPr>
          <w:p w14:paraId="3DB5B0E3"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noProof/>
                <w:sz w:val="18"/>
                <w:szCs w:val="18"/>
              </w:rPr>
              <w:t>Qualitative assessment by the stakeholders on the extent to which the directive impacted</w:t>
            </w:r>
            <w:r w:rsidRPr="00575CC5">
              <w:rPr>
                <w:rFonts w:eastAsia="MingLiU"/>
                <w:noProof/>
                <w:sz w:val="18"/>
                <w:szCs w:val="18"/>
              </w:rPr>
              <w:t xml:space="preserve"> the freedom of association among individuals and organisations</w:t>
            </w:r>
          </w:p>
        </w:tc>
        <w:tc>
          <w:tcPr>
            <w:tcW w:w="1394" w:type="pct"/>
            <w:vMerge/>
          </w:tcPr>
          <w:p w14:paraId="7E4FD4F8" w14:textId="77777777" w:rsidR="00C87C82" w:rsidRPr="00575CC5" w:rsidRDefault="00C87C82" w:rsidP="00C87C82">
            <w:pPr>
              <w:numPr>
                <w:ilvl w:val="0"/>
                <w:numId w:val="45"/>
              </w:numPr>
              <w:contextualSpacing/>
              <w:rPr>
                <w:rFonts w:ascii="Times New Roman" w:eastAsia="MingLiU" w:hAnsi="Times New Roman" w:cs="Times New Roman"/>
                <w:noProof/>
                <w:sz w:val="18"/>
                <w:szCs w:val="18"/>
              </w:rPr>
            </w:pPr>
          </w:p>
        </w:tc>
      </w:tr>
      <w:tr w:rsidR="00C87C82" w:rsidRPr="00575CC5" w14:paraId="009E12DA" w14:textId="77777777">
        <w:trPr>
          <w:trHeight w:val="1048"/>
        </w:trPr>
        <w:tc>
          <w:tcPr>
            <w:tcW w:w="903" w:type="pct"/>
            <w:vMerge/>
          </w:tcPr>
          <w:p w14:paraId="3679EE76" w14:textId="77777777" w:rsidR="00C87C82" w:rsidRPr="00575CC5" w:rsidRDefault="00C87C82">
            <w:pPr>
              <w:rPr>
                <w:rFonts w:ascii="Times New Roman" w:hAnsi="Times New Roman" w:cs="Times New Roman"/>
                <w:noProof/>
              </w:rPr>
            </w:pPr>
          </w:p>
        </w:tc>
        <w:tc>
          <w:tcPr>
            <w:tcW w:w="1157" w:type="pct"/>
            <w:gridSpan w:val="2"/>
          </w:tcPr>
          <w:p w14:paraId="7EBDF509" w14:textId="77777777" w:rsidR="00C87C82" w:rsidRPr="00575CC5" w:rsidRDefault="00C87C82">
            <w:pPr>
              <w:contextualSpacing/>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EQ25.3: In what ways has the Directive impacted the respect of principles such as legality and proportionality of criminal offences and penalties, including aspects related to precision, clarity, and foreseeability in criminal law, as stipulated in the Charter of Fundamental Rights of the European Union?</w:t>
            </w:r>
          </w:p>
        </w:tc>
        <w:tc>
          <w:tcPr>
            <w:tcW w:w="1546" w:type="pct"/>
          </w:tcPr>
          <w:p w14:paraId="586E681C"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Qualitative assessment by the stakeholders on the ways in which the Directive impacted t</w:t>
            </w:r>
            <w:r w:rsidRPr="00575CC5">
              <w:rPr>
                <w:rFonts w:eastAsia="MingLiU"/>
                <w:noProof/>
                <w:sz w:val="18"/>
                <w:szCs w:val="18"/>
              </w:rPr>
              <w:t>he principles of legality and proportionality of criminal offences and penalties</w:t>
            </w:r>
          </w:p>
        </w:tc>
        <w:tc>
          <w:tcPr>
            <w:tcW w:w="1394" w:type="pct"/>
            <w:vMerge/>
          </w:tcPr>
          <w:p w14:paraId="1E9CCE2B" w14:textId="77777777" w:rsidR="00C87C82" w:rsidRPr="00575CC5" w:rsidRDefault="00C87C82">
            <w:pPr>
              <w:rPr>
                <w:rFonts w:ascii="Times New Roman" w:hAnsi="Times New Roman" w:cs="Times New Roman"/>
                <w:noProof/>
              </w:rPr>
            </w:pPr>
          </w:p>
        </w:tc>
      </w:tr>
      <w:tr w:rsidR="00C87C82" w:rsidRPr="00575CC5" w14:paraId="735FA996" w14:textId="77777777">
        <w:tc>
          <w:tcPr>
            <w:tcW w:w="903" w:type="pct"/>
            <w:vMerge/>
          </w:tcPr>
          <w:p w14:paraId="4B45F6C2" w14:textId="77777777" w:rsidR="00C87C82" w:rsidRPr="00575CC5" w:rsidRDefault="00C87C82">
            <w:pPr>
              <w:rPr>
                <w:rFonts w:ascii="Times New Roman" w:hAnsi="Times New Roman" w:cs="Times New Roman"/>
                <w:noProof/>
              </w:rPr>
            </w:pPr>
          </w:p>
        </w:tc>
        <w:tc>
          <w:tcPr>
            <w:tcW w:w="1157" w:type="pct"/>
            <w:gridSpan w:val="2"/>
          </w:tcPr>
          <w:p w14:paraId="561847D8" w14:textId="77777777" w:rsidR="00C87C82" w:rsidRPr="00575CC5" w:rsidRDefault="00C87C82">
            <w:pPr>
              <w:rPr>
                <w:rFonts w:ascii="Times New Roman" w:hAnsi="Times New Roman" w:cs="Times New Roman"/>
                <w:noProof/>
                <w:lang w:val="en-IE"/>
              </w:rPr>
            </w:pPr>
            <w:r w:rsidRPr="00575CC5">
              <w:rPr>
                <w:rFonts w:ascii="Times New Roman" w:eastAsia="Verdana" w:hAnsi="Times New Roman" w:cs="Times New Roman"/>
                <w:noProof/>
                <w:sz w:val="18"/>
                <w:szCs w:val="18"/>
                <w:lang w:val="en-IE"/>
              </w:rPr>
              <w:t>EQ25.4: What effects has the implementation of the Directive had on upholding the presumption of innocence and ensuring the rights of suspects and accused persons, such as the right to access legal representation, the right not to self-incriminate, and the right to a fair trial, in accordance with the Charter of Fundamental Rights of the European Union?</w:t>
            </w:r>
          </w:p>
        </w:tc>
        <w:tc>
          <w:tcPr>
            <w:tcW w:w="1546" w:type="pct"/>
          </w:tcPr>
          <w:p w14:paraId="7C8906D3"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 xml:space="preserve">Qualitative assessment by the stakeholders on the effects of the Directive in upholding </w:t>
            </w:r>
            <w:r w:rsidRPr="00575CC5">
              <w:rPr>
                <w:rFonts w:eastAsia="Verdana"/>
                <w:noProof/>
                <w:sz w:val="18"/>
                <w:szCs w:val="18"/>
              </w:rPr>
              <w:t>the presumption of innocence</w:t>
            </w:r>
          </w:p>
          <w:p w14:paraId="2FD7D94B"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 xml:space="preserve">Qualitative assessment by the stakeholders on the effects of the Directive in upholding </w:t>
            </w:r>
            <w:r w:rsidRPr="00575CC5">
              <w:rPr>
                <w:rFonts w:eastAsia="Verdana"/>
                <w:noProof/>
                <w:sz w:val="18"/>
                <w:szCs w:val="18"/>
              </w:rPr>
              <w:t>the rights of suspects and accused persons</w:t>
            </w:r>
          </w:p>
          <w:p w14:paraId="06B7E9D7"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Qualitative assessment by the stakeholders on the effects of the Directive in upholding</w:t>
            </w:r>
            <w:r w:rsidRPr="00575CC5">
              <w:rPr>
                <w:rFonts w:eastAsia="Verdana"/>
                <w:noProof/>
                <w:sz w:val="18"/>
                <w:szCs w:val="18"/>
              </w:rPr>
              <w:t xml:space="preserve"> the right to access legal representation</w:t>
            </w:r>
          </w:p>
          <w:p w14:paraId="58929D8B"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 xml:space="preserve">Qualitative assessment by the stakeholders on the effects of the Directive in upholding </w:t>
            </w:r>
            <w:r w:rsidRPr="00575CC5">
              <w:rPr>
                <w:rFonts w:eastAsia="Verdana"/>
                <w:noProof/>
                <w:sz w:val="18"/>
                <w:szCs w:val="18"/>
              </w:rPr>
              <w:t>the right not to self-incriminate</w:t>
            </w:r>
          </w:p>
          <w:p w14:paraId="0BB2BF6E"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 xml:space="preserve">Qualitative assessment by the stakeholders on the effects of the Directive in upholding </w:t>
            </w:r>
            <w:r w:rsidRPr="00575CC5">
              <w:rPr>
                <w:rFonts w:eastAsia="Verdana"/>
                <w:noProof/>
                <w:sz w:val="18"/>
                <w:szCs w:val="18"/>
              </w:rPr>
              <w:t>the right to a fair trial</w:t>
            </w:r>
          </w:p>
        </w:tc>
        <w:tc>
          <w:tcPr>
            <w:tcW w:w="1394" w:type="pct"/>
            <w:vMerge/>
          </w:tcPr>
          <w:p w14:paraId="6366A1F2" w14:textId="77777777" w:rsidR="00C87C82" w:rsidRPr="00575CC5" w:rsidRDefault="00C87C82">
            <w:pPr>
              <w:rPr>
                <w:rFonts w:ascii="Times New Roman" w:hAnsi="Times New Roman" w:cs="Times New Roman"/>
                <w:noProof/>
              </w:rPr>
            </w:pPr>
          </w:p>
        </w:tc>
      </w:tr>
      <w:tr w:rsidR="00C87C82" w:rsidRPr="00575CC5" w14:paraId="11C9B53C" w14:textId="77777777">
        <w:trPr>
          <w:trHeight w:val="300"/>
        </w:trPr>
        <w:tc>
          <w:tcPr>
            <w:tcW w:w="903" w:type="pct"/>
            <w:vMerge/>
          </w:tcPr>
          <w:p w14:paraId="37F9D62E" w14:textId="77777777" w:rsidR="00C87C82" w:rsidRPr="00575CC5" w:rsidRDefault="00C87C82">
            <w:pPr>
              <w:rPr>
                <w:rFonts w:ascii="Times New Roman" w:hAnsi="Times New Roman" w:cs="Times New Roman"/>
                <w:noProof/>
              </w:rPr>
            </w:pPr>
          </w:p>
        </w:tc>
        <w:tc>
          <w:tcPr>
            <w:tcW w:w="1157" w:type="pct"/>
            <w:gridSpan w:val="2"/>
          </w:tcPr>
          <w:p w14:paraId="069A71C4" w14:textId="77777777" w:rsidR="00C87C82" w:rsidRPr="00575CC5" w:rsidRDefault="00C87C82">
            <w:pPr>
              <w:rPr>
                <w:rFonts w:ascii="Times New Roman" w:eastAsia="Verdana" w:hAnsi="Times New Roman" w:cs="Times New Roman"/>
                <w:noProof/>
                <w:sz w:val="18"/>
                <w:szCs w:val="18"/>
                <w:lang w:val="en-IE"/>
              </w:rPr>
            </w:pPr>
            <w:r w:rsidRPr="00575CC5">
              <w:rPr>
                <w:rFonts w:ascii="Times New Roman" w:eastAsia="Verdana" w:hAnsi="Times New Roman" w:cs="Times New Roman"/>
                <w:noProof/>
                <w:sz w:val="18"/>
                <w:szCs w:val="18"/>
                <w:lang w:val="en-IE"/>
              </w:rPr>
              <w:t>EQ25.5: In what ways could the Directive be further improved to ensure or enhance the protection of these rights?</w:t>
            </w:r>
          </w:p>
        </w:tc>
        <w:tc>
          <w:tcPr>
            <w:tcW w:w="1546" w:type="pct"/>
          </w:tcPr>
          <w:p w14:paraId="6E0B1184"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Qualitative input by stakeholders on the way the Directive can be further improved to safeguard the fundamental rights and freedoms as enshrined in the Charter of Fundamental Rights of the EU</w:t>
            </w:r>
          </w:p>
        </w:tc>
        <w:tc>
          <w:tcPr>
            <w:tcW w:w="1394" w:type="pct"/>
            <w:vMerge/>
          </w:tcPr>
          <w:p w14:paraId="39ABE053" w14:textId="77777777" w:rsidR="00C87C82" w:rsidRPr="00575CC5" w:rsidRDefault="00C87C82">
            <w:pPr>
              <w:rPr>
                <w:rFonts w:ascii="Times New Roman" w:hAnsi="Times New Roman" w:cs="Times New Roman"/>
                <w:noProof/>
              </w:rPr>
            </w:pPr>
          </w:p>
        </w:tc>
      </w:tr>
      <w:tr w:rsidR="00C87C82" w:rsidRPr="00575CC5" w14:paraId="27A401F5" w14:textId="77777777">
        <w:trPr>
          <w:trHeight w:val="1421"/>
        </w:trPr>
        <w:tc>
          <w:tcPr>
            <w:tcW w:w="903" w:type="pct"/>
            <w:vMerge w:val="restart"/>
          </w:tcPr>
          <w:p w14:paraId="023A738D" w14:textId="2D3BFCBD" w:rsidR="00C87C82" w:rsidRPr="00575CC5" w:rsidRDefault="00C87C82">
            <w:pPr>
              <w:rPr>
                <w:rFonts w:ascii="Times New Roman" w:eastAsia="MingLiU" w:hAnsi="Times New Roman" w:cs="Times New Roman"/>
                <w:noProof/>
                <w:sz w:val="18"/>
                <w:szCs w:val="18"/>
              </w:rPr>
            </w:pPr>
          </w:p>
        </w:tc>
        <w:tc>
          <w:tcPr>
            <w:tcW w:w="1157" w:type="pct"/>
            <w:gridSpan w:val="2"/>
          </w:tcPr>
          <w:p w14:paraId="176F96E8"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EQ26.1: </w:t>
            </w:r>
            <w:r w:rsidRPr="00575CC5">
              <w:rPr>
                <w:rFonts w:ascii="Times New Roman" w:eastAsia="Verdana" w:hAnsi="Times New Roman" w:cs="Times New Roman"/>
                <w:noProof/>
                <w:sz w:val="18"/>
                <w:szCs w:val="18"/>
                <w:lang w:val="en-IE"/>
              </w:rPr>
              <w:t>To what extent does the implementation of the Directive align with the provisions outlined in the Charter of Fundamental Rights of the European Union, specifically concerning the rights and principles related to the Directive’s scope and application?</w:t>
            </w:r>
          </w:p>
        </w:tc>
        <w:tc>
          <w:tcPr>
            <w:tcW w:w="1546" w:type="pct"/>
          </w:tcPr>
          <w:p w14:paraId="2EFCFBFB"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 xml:space="preserve">Qualitative assessment by the stakeholders on the extent to which the Directive has been implemented in accordance with human rights obligations under European law  </w:t>
            </w:r>
          </w:p>
        </w:tc>
        <w:tc>
          <w:tcPr>
            <w:tcW w:w="1394" w:type="pct"/>
            <w:vMerge w:val="restart"/>
          </w:tcPr>
          <w:p w14:paraId="3A5B916B"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 xml:space="preserve">Survey targeting think-tanks/academic institutions </w:t>
            </w:r>
          </w:p>
          <w:p w14:paraId="65E6896A"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 targeted at other stakeholders (e.g., ECBA)</w:t>
            </w:r>
          </w:p>
          <w:p w14:paraId="583295A7"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 targeted at EU bodies and agencies (e.g., EPPO, FRA, Eurojust, Europol)</w:t>
            </w:r>
          </w:p>
        </w:tc>
      </w:tr>
      <w:tr w:rsidR="00C87C82" w:rsidRPr="00575CC5" w14:paraId="3C0E63CC" w14:textId="77777777">
        <w:trPr>
          <w:trHeight w:val="300"/>
        </w:trPr>
        <w:tc>
          <w:tcPr>
            <w:tcW w:w="903" w:type="pct"/>
            <w:vMerge/>
          </w:tcPr>
          <w:p w14:paraId="59EBE91F"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4A5B314A"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 xml:space="preserve">EQ26.2: </w:t>
            </w:r>
            <w:r w:rsidRPr="00575CC5">
              <w:rPr>
                <w:rFonts w:ascii="Times New Roman" w:eastAsia="Verdana" w:hAnsi="Times New Roman" w:cs="Times New Roman"/>
                <w:noProof/>
                <w:sz w:val="18"/>
                <w:szCs w:val="18"/>
                <w:lang w:val="en-IE"/>
              </w:rPr>
              <w:t xml:space="preserve"> How effectively has the implementation of the Directive adhered to the standards and principles set forth in the European Convention for the Protection of Human Rights and Fundamental Freedoms, particularly in the context of the protection of fundamental rights during the enforcement and implementation of the Directive?</w:t>
            </w:r>
          </w:p>
        </w:tc>
        <w:tc>
          <w:tcPr>
            <w:tcW w:w="1546" w:type="pct"/>
          </w:tcPr>
          <w:p w14:paraId="277EB45C" w14:textId="77777777" w:rsidR="00C87C82" w:rsidRPr="00575CC5" w:rsidRDefault="00C87C82" w:rsidP="00C87C82">
            <w:pPr>
              <w:pStyle w:val="ListParagraph"/>
              <w:numPr>
                <w:ilvl w:val="0"/>
                <w:numId w:val="35"/>
              </w:numPr>
              <w:spacing w:after="0"/>
              <w:jc w:val="left"/>
              <w:rPr>
                <w:rFonts w:eastAsia="MingLiU"/>
                <w:noProof/>
                <w:sz w:val="18"/>
                <w:szCs w:val="18"/>
              </w:rPr>
            </w:pPr>
            <w:r w:rsidRPr="00575CC5">
              <w:rPr>
                <w:rFonts w:eastAsia="MingLiU"/>
                <w:noProof/>
                <w:sz w:val="18"/>
                <w:szCs w:val="18"/>
              </w:rPr>
              <w:t xml:space="preserve">Qualitative assessment by the stakeholders on whether the Directive has been implemented in accordance with human rights obligations under the </w:t>
            </w:r>
            <w:r w:rsidRPr="00575CC5">
              <w:rPr>
                <w:rFonts w:eastAsia="Verdana"/>
                <w:noProof/>
                <w:sz w:val="18"/>
                <w:szCs w:val="18"/>
              </w:rPr>
              <w:t>European Convention for the Protection of Human Rights and Fundamental Freedoms</w:t>
            </w:r>
          </w:p>
        </w:tc>
        <w:tc>
          <w:tcPr>
            <w:tcW w:w="1394" w:type="pct"/>
            <w:vMerge/>
          </w:tcPr>
          <w:p w14:paraId="42D9E40B" w14:textId="77777777" w:rsidR="00C87C82" w:rsidRPr="00575CC5" w:rsidRDefault="00C87C82" w:rsidP="00C87C82">
            <w:pPr>
              <w:numPr>
                <w:ilvl w:val="0"/>
                <w:numId w:val="45"/>
              </w:numPr>
              <w:contextualSpacing/>
              <w:rPr>
                <w:rFonts w:ascii="Times New Roman" w:eastAsia="MingLiU" w:hAnsi="Times New Roman" w:cs="Times New Roman"/>
                <w:noProof/>
                <w:sz w:val="18"/>
                <w:szCs w:val="18"/>
              </w:rPr>
            </w:pPr>
          </w:p>
        </w:tc>
      </w:tr>
      <w:tr w:rsidR="00C87C82" w:rsidRPr="00575CC5" w14:paraId="0ABA6533" w14:textId="77777777">
        <w:trPr>
          <w:trHeight w:val="300"/>
        </w:trPr>
        <w:tc>
          <w:tcPr>
            <w:tcW w:w="903" w:type="pct"/>
            <w:vMerge/>
          </w:tcPr>
          <w:p w14:paraId="0F174EDF" w14:textId="77777777" w:rsidR="00C87C82" w:rsidRPr="00575CC5" w:rsidRDefault="00C87C82">
            <w:pPr>
              <w:rPr>
                <w:rFonts w:ascii="Times New Roman" w:hAnsi="Times New Roman" w:cs="Times New Roman"/>
                <w:noProof/>
              </w:rPr>
            </w:pPr>
          </w:p>
        </w:tc>
        <w:tc>
          <w:tcPr>
            <w:tcW w:w="1157" w:type="pct"/>
            <w:gridSpan w:val="2"/>
          </w:tcPr>
          <w:p w14:paraId="0C39789D"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EQ26.3: In what ways has the implementation of the Directive demonstrated compliance with the provisions stipulated in the International Covenant on Civil and Political Rights, considering the obligations under this international human rights instrument and their impact on the Directive’s enforcement?</w:t>
            </w:r>
          </w:p>
        </w:tc>
        <w:tc>
          <w:tcPr>
            <w:tcW w:w="1546" w:type="pct"/>
          </w:tcPr>
          <w:p w14:paraId="13D4C9F9"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Qualitative assessment by the stakeholders on whether the Directive has been implemented in accordance with human rights obligations under the International Covenant on Civil and Political Rights</w:t>
            </w:r>
          </w:p>
        </w:tc>
        <w:tc>
          <w:tcPr>
            <w:tcW w:w="1394" w:type="pct"/>
            <w:vMerge/>
          </w:tcPr>
          <w:p w14:paraId="65550C01" w14:textId="77777777" w:rsidR="00C87C82" w:rsidRPr="00575CC5" w:rsidRDefault="00C87C82">
            <w:pPr>
              <w:rPr>
                <w:rFonts w:ascii="Times New Roman" w:hAnsi="Times New Roman" w:cs="Times New Roman"/>
                <w:noProof/>
              </w:rPr>
            </w:pPr>
          </w:p>
        </w:tc>
      </w:tr>
      <w:tr w:rsidR="00C87C82" w:rsidRPr="00575CC5" w14:paraId="2BAE5C03" w14:textId="77777777">
        <w:tc>
          <w:tcPr>
            <w:tcW w:w="903" w:type="pct"/>
            <w:vMerge/>
          </w:tcPr>
          <w:p w14:paraId="2BC8F90B" w14:textId="77777777" w:rsidR="00C87C82" w:rsidRPr="00575CC5" w:rsidRDefault="00C87C82">
            <w:pPr>
              <w:rPr>
                <w:rFonts w:ascii="Times New Roman" w:hAnsi="Times New Roman" w:cs="Times New Roman"/>
                <w:noProof/>
              </w:rPr>
            </w:pPr>
          </w:p>
        </w:tc>
        <w:tc>
          <w:tcPr>
            <w:tcW w:w="1157" w:type="pct"/>
            <w:gridSpan w:val="2"/>
          </w:tcPr>
          <w:p w14:paraId="5806F895" w14:textId="77777777" w:rsidR="00C87C82" w:rsidRPr="00575CC5" w:rsidRDefault="00C87C82">
            <w:pPr>
              <w:rPr>
                <w:rFonts w:ascii="Times New Roman" w:hAnsi="Times New Roman" w:cs="Times New Roman"/>
                <w:noProof/>
                <w:lang w:val="en-IE"/>
              </w:rPr>
            </w:pPr>
            <w:r w:rsidRPr="00575CC5">
              <w:rPr>
                <w:rFonts w:ascii="Times New Roman" w:eastAsia="MingLiU" w:hAnsi="Times New Roman" w:cs="Times New Roman"/>
                <w:noProof/>
                <w:sz w:val="18"/>
                <w:szCs w:val="18"/>
                <w:lang w:val="en-IE"/>
              </w:rPr>
              <w:t>EQ26.4: What measures have been taken to ensure that the implementation of the Directive aligns with other human rights obligations under international law, and how has this affected the Directive’s overall application and enforcement across Member States of the European Union?</w:t>
            </w:r>
          </w:p>
        </w:tc>
        <w:tc>
          <w:tcPr>
            <w:tcW w:w="1546" w:type="pct"/>
          </w:tcPr>
          <w:p w14:paraId="1E7B40F3" w14:textId="77777777" w:rsidR="00C87C82" w:rsidRPr="00575CC5" w:rsidRDefault="00C87C82" w:rsidP="008A47B8">
            <w:pPr>
              <w:pStyle w:val="ListParagraph"/>
              <w:numPr>
                <w:ilvl w:val="0"/>
                <w:numId w:val="35"/>
              </w:numPr>
              <w:rPr>
                <w:noProof/>
                <w:sz w:val="18"/>
                <w:szCs w:val="18"/>
              </w:rPr>
            </w:pPr>
            <w:r w:rsidRPr="00575CC5">
              <w:rPr>
                <w:noProof/>
                <w:sz w:val="18"/>
                <w:szCs w:val="18"/>
              </w:rPr>
              <w:t>List of measures adopted to ensure alignment with other human rights obligations under international law</w:t>
            </w:r>
          </w:p>
          <w:p w14:paraId="7977756D" w14:textId="77777777" w:rsidR="00C87C82" w:rsidRPr="00575CC5" w:rsidRDefault="00C87C82" w:rsidP="008A47B8">
            <w:pPr>
              <w:pStyle w:val="ListParagraph"/>
              <w:numPr>
                <w:ilvl w:val="0"/>
                <w:numId w:val="35"/>
              </w:numPr>
              <w:rPr>
                <w:noProof/>
                <w:sz w:val="18"/>
                <w:szCs w:val="18"/>
              </w:rPr>
            </w:pPr>
            <w:r w:rsidRPr="00575CC5">
              <w:rPr>
                <w:noProof/>
                <w:sz w:val="18"/>
                <w:szCs w:val="18"/>
              </w:rPr>
              <w:t xml:space="preserve">Qualitative assessment by stakeholders on the impact of these measures on the </w:t>
            </w:r>
            <w:r w:rsidRPr="00575CC5">
              <w:rPr>
                <w:rFonts w:eastAsia="MingLiU"/>
                <w:noProof/>
                <w:sz w:val="18"/>
                <w:szCs w:val="18"/>
              </w:rPr>
              <w:t>Directive’s overall application and enforcement across EU Member States</w:t>
            </w:r>
          </w:p>
        </w:tc>
        <w:tc>
          <w:tcPr>
            <w:tcW w:w="1394" w:type="pct"/>
            <w:vMerge/>
          </w:tcPr>
          <w:p w14:paraId="76E0DDEA" w14:textId="77777777" w:rsidR="00C87C82" w:rsidRPr="00575CC5" w:rsidRDefault="00C87C82">
            <w:pPr>
              <w:rPr>
                <w:rFonts w:ascii="Times New Roman" w:hAnsi="Times New Roman" w:cs="Times New Roman"/>
                <w:noProof/>
              </w:rPr>
            </w:pPr>
          </w:p>
        </w:tc>
      </w:tr>
      <w:tr w:rsidR="00C87C82" w:rsidRPr="00575CC5" w14:paraId="2EF03E1F" w14:textId="77777777">
        <w:trPr>
          <w:trHeight w:val="300"/>
        </w:trPr>
        <w:tc>
          <w:tcPr>
            <w:tcW w:w="903" w:type="pct"/>
            <w:vMerge/>
          </w:tcPr>
          <w:p w14:paraId="5B0C9842" w14:textId="77777777" w:rsidR="00C87C82" w:rsidRPr="00575CC5" w:rsidRDefault="00C87C82">
            <w:pPr>
              <w:rPr>
                <w:rFonts w:ascii="Times New Roman" w:hAnsi="Times New Roman" w:cs="Times New Roman"/>
                <w:noProof/>
              </w:rPr>
            </w:pPr>
          </w:p>
        </w:tc>
        <w:tc>
          <w:tcPr>
            <w:tcW w:w="1157" w:type="pct"/>
            <w:gridSpan w:val="2"/>
          </w:tcPr>
          <w:p w14:paraId="0D3A0C86"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EQ26.5: In what ways could the Directive be further enhanced to ensure that its legal provisions and implementation align more effectively with international human rights obligations and standards, promoting a balanced approach to combating criminal activities while safeguarding individual rights?</w:t>
            </w:r>
          </w:p>
        </w:tc>
        <w:tc>
          <w:tcPr>
            <w:tcW w:w="1546" w:type="pct"/>
          </w:tcPr>
          <w:p w14:paraId="06FF1D6A" w14:textId="77777777" w:rsidR="00C87C82" w:rsidRPr="00575CC5" w:rsidRDefault="00C87C82" w:rsidP="00C87C82">
            <w:pPr>
              <w:pStyle w:val="ListParagraph"/>
              <w:numPr>
                <w:ilvl w:val="0"/>
                <w:numId w:val="43"/>
              </w:numPr>
              <w:spacing w:after="120"/>
              <w:ind w:left="357" w:hanging="357"/>
              <w:jc w:val="left"/>
              <w:rPr>
                <w:noProof/>
                <w:sz w:val="18"/>
                <w:szCs w:val="18"/>
              </w:rPr>
            </w:pPr>
            <w:r w:rsidRPr="00575CC5">
              <w:rPr>
                <w:noProof/>
                <w:sz w:val="18"/>
                <w:szCs w:val="18"/>
              </w:rPr>
              <w:t>Qualitative assessment by the stakeholders on how to improve the Directive to enhance its alignment with international human rights obligations and promote a balanced approach while combating criminal activities</w:t>
            </w:r>
          </w:p>
        </w:tc>
        <w:tc>
          <w:tcPr>
            <w:tcW w:w="1394" w:type="pct"/>
            <w:vMerge/>
          </w:tcPr>
          <w:p w14:paraId="04182FD9" w14:textId="77777777" w:rsidR="00C87C82" w:rsidRPr="00575CC5" w:rsidRDefault="00C87C82">
            <w:pPr>
              <w:rPr>
                <w:rFonts w:ascii="Times New Roman" w:hAnsi="Times New Roman" w:cs="Times New Roman"/>
                <w:noProof/>
              </w:rPr>
            </w:pPr>
          </w:p>
        </w:tc>
      </w:tr>
      <w:tr w:rsidR="00C87C82" w:rsidRPr="00575CC5" w14:paraId="34E07A8D" w14:textId="77777777">
        <w:trPr>
          <w:trHeight w:val="1215"/>
        </w:trPr>
        <w:tc>
          <w:tcPr>
            <w:tcW w:w="903" w:type="pct"/>
            <w:vMerge w:val="restart"/>
          </w:tcPr>
          <w:p w14:paraId="518BFE22"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EQ27: To what extent and why can any observed impact on fundamental rights and freedoms be directly attributed to the Directive (and specific provisions) or to other developments?</w:t>
            </w:r>
          </w:p>
        </w:tc>
        <w:tc>
          <w:tcPr>
            <w:tcW w:w="1157" w:type="pct"/>
            <w:gridSpan w:val="2"/>
          </w:tcPr>
          <w:p w14:paraId="02A13426" w14:textId="77777777" w:rsidR="00C87C82" w:rsidRPr="00575CC5" w:rsidRDefault="00C87C82">
            <w:pPr>
              <w:rPr>
                <w:rFonts w:ascii="Times New Roman" w:eastAsia="MingLiU" w:hAnsi="Times New Roman" w:cs="Times New Roman"/>
                <w:noProof/>
                <w:sz w:val="18"/>
                <w:szCs w:val="18"/>
                <w:lang w:val="en-IE"/>
              </w:rPr>
            </w:pPr>
            <w:r w:rsidRPr="00575CC5">
              <w:rPr>
                <w:rFonts w:ascii="Times New Roman" w:eastAsia="MingLiU" w:hAnsi="Times New Roman" w:cs="Times New Roman"/>
                <w:noProof/>
                <w:sz w:val="18"/>
                <w:szCs w:val="18"/>
                <w:lang w:val="en-IE"/>
              </w:rPr>
              <w:t>EQ27.1: Which provisions of the Directive lead to direct impact on the fundamental rights and freedoms?</w:t>
            </w:r>
          </w:p>
          <w:p w14:paraId="7D5A4874" w14:textId="77777777" w:rsidR="00C87C82" w:rsidRPr="00575CC5" w:rsidRDefault="00C87C82">
            <w:pPr>
              <w:rPr>
                <w:rFonts w:ascii="Times New Roman" w:eastAsia="MingLiU" w:hAnsi="Times New Roman" w:cs="Times New Roman"/>
                <w:noProof/>
                <w:sz w:val="18"/>
                <w:szCs w:val="18"/>
              </w:rPr>
            </w:pPr>
          </w:p>
          <w:p w14:paraId="0B9A8242" w14:textId="77777777" w:rsidR="00C87C82" w:rsidRPr="00575CC5" w:rsidRDefault="00C87C82">
            <w:pPr>
              <w:rPr>
                <w:rFonts w:ascii="Times New Roman" w:eastAsia="MingLiU" w:hAnsi="Times New Roman" w:cs="Times New Roman"/>
                <w:noProof/>
                <w:sz w:val="18"/>
                <w:szCs w:val="18"/>
              </w:rPr>
            </w:pPr>
          </w:p>
          <w:p w14:paraId="4183C89C" w14:textId="77777777" w:rsidR="00C87C82" w:rsidRPr="00575CC5" w:rsidRDefault="00C87C82">
            <w:pPr>
              <w:rPr>
                <w:rFonts w:ascii="Times New Roman" w:eastAsia="MingLiU" w:hAnsi="Times New Roman" w:cs="Times New Roman"/>
                <w:noProof/>
                <w:sz w:val="18"/>
                <w:szCs w:val="18"/>
              </w:rPr>
            </w:pPr>
          </w:p>
          <w:p w14:paraId="77B3F012" w14:textId="77777777" w:rsidR="00C87C82" w:rsidRPr="00575CC5" w:rsidRDefault="00C87C82">
            <w:pPr>
              <w:rPr>
                <w:rFonts w:ascii="Times New Roman" w:eastAsia="MingLiU" w:hAnsi="Times New Roman" w:cs="Times New Roman"/>
                <w:noProof/>
                <w:sz w:val="18"/>
                <w:szCs w:val="18"/>
              </w:rPr>
            </w:pPr>
          </w:p>
        </w:tc>
        <w:tc>
          <w:tcPr>
            <w:tcW w:w="1546" w:type="pct"/>
          </w:tcPr>
          <w:p w14:paraId="4D0DD5DA" w14:textId="77777777" w:rsidR="00C87C82" w:rsidRPr="00575CC5" w:rsidRDefault="00C87C82" w:rsidP="00C87C82">
            <w:pPr>
              <w:pStyle w:val="ListParagraph"/>
              <w:numPr>
                <w:ilvl w:val="0"/>
                <w:numId w:val="43"/>
              </w:numPr>
              <w:spacing w:after="0"/>
              <w:ind w:left="357" w:hanging="357"/>
              <w:jc w:val="left"/>
              <w:rPr>
                <w:rFonts w:eastAsia="MingLiU"/>
                <w:noProof/>
                <w:sz w:val="18"/>
                <w:szCs w:val="18"/>
              </w:rPr>
            </w:pPr>
            <w:r w:rsidRPr="00575CC5">
              <w:rPr>
                <w:rFonts w:eastAsia="MingLiU"/>
                <w:noProof/>
                <w:sz w:val="18"/>
                <w:szCs w:val="18"/>
              </w:rPr>
              <w:t>List of provisions of the Directive that have a direct impact on fundamental rights and freedoms</w:t>
            </w:r>
          </w:p>
          <w:p w14:paraId="26D1FB04" w14:textId="77777777" w:rsidR="00C87C82" w:rsidRPr="00575CC5" w:rsidRDefault="00C87C82" w:rsidP="00C87C82">
            <w:pPr>
              <w:pStyle w:val="ListParagraph"/>
              <w:numPr>
                <w:ilvl w:val="0"/>
                <w:numId w:val="43"/>
              </w:numPr>
              <w:spacing w:after="0"/>
              <w:ind w:left="357" w:hanging="357"/>
              <w:jc w:val="left"/>
              <w:rPr>
                <w:rFonts w:eastAsia="MingLiU"/>
                <w:noProof/>
                <w:sz w:val="18"/>
                <w:szCs w:val="18"/>
              </w:rPr>
            </w:pPr>
            <w:r w:rsidRPr="00575CC5">
              <w:rPr>
                <w:rFonts w:eastAsia="MingLiU"/>
                <w:noProof/>
                <w:sz w:val="18"/>
                <w:szCs w:val="18"/>
              </w:rPr>
              <w:t>Qualitative assessment by the stakeholders on the extent of the Directive’s impact on the fundamental rights and freedoms</w:t>
            </w:r>
          </w:p>
        </w:tc>
        <w:tc>
          <w:tcPr>
            <w:tcW w:w="1394" w:type="pct"/>
            <w:vMerge w:val="restart"/>
          </w:tcPr>
          <w:p w14:paraId="609794BA"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 targeted at other stakeholders (e.g., ECBA)</w:t>
            </w:r>
          </w:p>
          <w:p w14:paraId="3231A054"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Survey targeted at EU bodies and agencies (e.g., EPPO, FRA, Eurojust, Europol)</w:t>
            </w:r>
          </w:p>
        </w:tc>
      </w:tr>
      <w:tr w:rsidR="00C87C82" w:rsidRPr="00575CC5" w14:paraId="65BBA42F" w14:textId="77777777">
        <w:trPr>
          <w:trHeight w:val="1915"/>
        </w:trPr>
        <w:tc>
          <w:tcPr>
            <w:tcW w:w="903" w:type="pct"/>
            <w:vMerge/>
          </w:tcPr>
          <w:p w14:paraId="22CA4A5E"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4593B524"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 xml:space="preserve">EQ27.2: Has the punishable conduct enumerated in Article 3 and 4 of the Directive as criminal offence been defined in a clear, precise and foreseeable way so as not to jeopardise the principles of legality of criminal offences? </w:t>
            </w:r>
          </w:p>
          <w:p w14:paraId="4E98FA5F" w14:textId="77777777" w:rsidR="00C87C82" w:rsidRPr="00575CC5" w:rsidRDefault="00C87C82">
            <w:pPr>
              <w:rPr>
                <w:rFonts w:ascii="Times New Roman" w:eastAsia="MingLiU" w:hAnsi="Times New Roman" w:cs="Times New Roman"/>
                <w:noProof/>
                <w:sz w:val="18"/>
                <w:szCs w:val="18"/>
              </w:rPr>
            </w:pPr>
          </w:p>
        </w:tc>
        <w:tc>
          <w:tcPr>
            <w:tcW w:w="1546" w:type="pct"/>
          </w:tcPr>
          <w:p w14:paraId="5DC9F59D"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Qualitative assessment by stakeholders on the clarity, precision and foreseeability of the punishable conducts in the Directive</w:t>
            </w:r>
          </w:p>
        </w:tc>
        <w:tc>
          <w:tcPr>
            <w:tcW w:w="1394" w:type="pct"/>
            <w:vMerge/>
          </w:tcPr>
          <w:p w14:paraId="27E05F7A" w14:textId="77777777" w:rsidR="00C87C82" w:rsidRPr="00575CC5" w:rsidRDefault="00C87C82" w:rsidP="00C87C82">
            <w:pPr>
              <w:numPr>
                <w:ilvl w:val="0"/>
                <w:numId w:val="45"/>
              </w:numPr>
              <w:contextualSpacing/>
              <w:rPr>
                <w:rFonts w:ascii="Times New Roman" w:eastAsia="MingLiU" w:hAnsi="Times New Roman" w:cs="Times New Roman"/>
                <w:noProof/>
                <w:sz w:val="18"/>
                <w:szCs w:val="18"/>
              </w:rPr>
            </w:pPr>
          </w:p>
        </w:tc>
      </w:tr>
      <w:tr w:rsidR="00C87C82" w:rsidRPr="00575CC5" w14:paraId="570A922D" w14:textId="77777777">
        <w:trPr>
          <w:trHeight w:val="608"/>
        </w:trPr>
        <w:tc>
          <w:tcPr>
            <w:tcW w:w="903" w:type="pct"/>
            <w:vMerge/>
          </w:tcPr>
          <w:p w14:paraId="6A96893F"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2C1C1E7D"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EQ27.3: Are the penalties envisaged for the punishable offences in Article 5 of the Directive proportionate given the nature and severity of the conduct?</w:t>
            </w:r>
          </w:p>
        </w:tc>
        <w:tc>
          <w:tcPr>
            <w:tcW w:w="1546" w:type="pct"/>
          </w:tcPr>
          <w:p w14:paraId="4DCA6AC4"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Qualitative assessment by the stakeholders on the proportionality of the penalties for the punishable offence of the Directive in relation to the nature and severity of the conduct</w:t>
            </w:r>
          </w:p>
        </w:tc>
        <w:tc>
          <w:tcPr>
            <w:tcW w:w="1394" w:type="pct"/>
            <w:vMerge/>
          </w:tcPr>
          <w:p w14:paraId="696EB45F" w14:textId="77777777" w:rsidR="00C87C82" w:rsidRPr="00575CC5" w:rsidRDefault="00C87C82" w:rsidP="00C87C82">
            <w:pPr>
              <w:numPr>
                <w:ilvl w:val="0"/>
                <w:numId w:val="45"/>
              </w:numPr>
              <w:contextualSpacing/>
              <w:rPr>
                <w:rFonts w:ascii="Times New Roman" w:eastAsia="MingLiU" w:hAnsi="Times New Roman" w:cs="Times New Roman"/>
                <w:noProof/>
                <w:sz w:val="18"/>
                <w:szCs w:val="18"/>
              </w:rPr>
            </w:pPr>
          </w:p>
        </w:tc>
      </w:tr>
      <w:tr w:rsidR="00C87C82" w:rsidRPr="00575CC5" w14:paraId="16222E51" w14:textId="77777777">
        <w:trPr>
          <w:trHeight w:val="607"/>
        </w:trPr>
        <w:tc>
          <w:tcPr>
            <w:tcW w:w="903" w:type="pct"/>
            <w:vMerge/>
          </w:tcPr>
          <w:p w14:paraId="4B96B73E" w14:textId="77777777" w:rsidR="00C87C82" w:rsidRPr="00575CC5" w:rsidRDefault="00C87C82">
            <w:pPr>
              <w:rPr>
                <w:rFonts w:ascii="Times New Roman" w:eastAsia="MingLiU" w:hAnsi="Times New Roman" w:cs="Times New Roman"/>
                <w:noProof/>
                <w:sz w:val="18"/>
                <w:szCs w:val="18"/>
              </w:rPr>
            </w:pPr>
          </w:p>
        </w:tc>
        <w:tc>
          <w:tcPr>
            <w:tcW w:w="1157" w:type="pct"/>
            <w:gridSpan w:val="2"/>
          </w:tcPr>
          <w:p w14:paraId="700098C4" w14:textId="77777777" w:rsidR="00C87C82" w:rsidRPr="00575CC5" w:rsidRDefault="00C87C82">
            <w:pPr>
              <w:rPr>
                <w:rFonts w:ascii="Times New Roman" w:eastAsia="MingLiU" w:hAnsi="Times New Roman" w:cs="Times New Roman"/>
                <w:noProof/>
                <w:sz w:val="18"/>
                <w:szCs w:val="18"/>
              </w:rPr>
            </w:pPr>
            <w:r w:rsidRPr="00575CC5">
              <w:rPr>
                <w:rFonts w:ascii="Times New Roman" w:eastAsia="MingLiU" w:hAnsi="Times New Roman" w:cs="Times New Roman"/>
                <w:noProof/>
                <w:sz w:val="18"/>
                <w:szCs w:val="18"/>
              </w:rPr>
              <w:t>EQ27.4: Are there other developments leading to impact on fundamental rights and freedoms resulting from the implementation of the Directive?</w:t>
            </w:r>
          </w:p>
        </w:tc>
        <w:tc>
          <w:tcPr>
            <w:tcW w:w="1546" w:type="pct"/>
          </w:tcPr>
          <w:p w14:paraId="61F18FD6" w14:textId="77777777" w:rsidR="00C87C82" w:rsidRPr="00575CC5" w:rsidRDefault="00C87C82" w:rsidP="00C87C82">
            <w:pPr>
              <w:pStyle w:val="ListParagraph"/>
              <w:numPr>
                <w:ilvl w:val="0"/>
                <w:numId w:val="43"/>
              </w:numPr>
              <w:spacing w:after="120"/>
              <w:ind w:left="357" w:hanging="357"/>
              <w:jc w:val="left"/>
              <w:rPr>
                <w:rFonts w:eastAsia="MingLiU"/>
                <w:noProof/>
                <w:sz w:val="18"/>
                <w:szCs w:val="18"/>
              </w:rPr>
            </w:pPr>
            <w:r w:rsidRPr="00575CC5">
              <w:rPr>
                <w:rFonts w:eastAsia="MingLiU"/>
                <w:noProof/>
                <w:sz w:val="18"/>
                <w:szCs w:val="18"/>
              </w:rPr>
              <w:t xml:space="preserve">Qualitative assessment by the stakeholders on whether there are other developments resulting in impact on fundamental rights and freedoms while implementing the Directive  </w:t>
            </w:r>
          </w:p>
        </w:tc>
        <w:tc>
          <w:tcPr>
            <w:tcW w:w="1394" w:type="pct"/>
            <w:vMerge/>
          </w:tcPr>
          <w:p w14:paraId="0B27EFAB" w14:textId="77777777" w:rsidR="00C87C82" w:rsidRPr="00575CC5" w:rsidRDefault="00C87C82" w:rsidP="00C87C82">
            <w:pPr>
              <w:numPr>
                <w:ilvl w:val="0"/>
                <w:numId w:val="45"/>
              </w:numPr>
              <w:contextualSpacing/>
              <w:rPr>
                <w:rFonts w:ascii="Times New Roman" w:eastAsia="MingLiU" w:hAnsi="Times New Roman" w:cs="Times New Roman"/>
                <w:noProof/>
                <w:sz w:val="18"/>
                <w:szCs w:val="18"/>
              </w:rPr>
            </w:pPr>
          </w:p>
        </w:tc>
      </w:tr>
    </w:tbl>
    <w:p w14:paraId="5C278CD6" w14:textId="77777777" w:rsidR="00C87C82" w:rsidRDefault="00C87C82" w:rsidP="00C87C82">
      <w:pPr>
        <w:rPr>
          <w:rFonts w:ascii="Times New Roman" w:hAnsi="Times New Roman" w:cs="Times New Roman"/>
          <w:noProof/>
          <w:sz w:val="24"/>
          <w:szCs w:val="24"/>
          <w:lang w:val="en-IE"/>
        </w:rPr>
      </w:pPr>
    </w:p>
    <w:p w14:paraId="5FEF33C3" w14:textId="77777777" w:rsidR="003B7D3D" w:rsidRDefault="003B7D3D" w:rsidP="00C87C82">
      <w:pPr>
        <w:rPr>
          <w:rFonts w:ascii="Times New Roman" w:hAnsi="Times New Roman" w:cs="Times New Roman"/>
          <w:noProof/>
          <w:sz w:val="24"/>
          <w:szCs w:val="24"/>
          <w:lang w:val="en-IE"/>
        </w:rPr>
      </w:pPr>
    </w:p>
    <w:p w14:paraId="430D6EDA" w14:textId="6B33D98C" w:rsidR="0099104E" w:rsidRDefault="0099104E" w:rsidP="0099104E">
      <w:pPr>
        <w:pStyle w:val="Heading1"/>
        <w:pBdr>
          <w:top w:val="single" w:sz="4" w:space="1" w:color="auto"/>
          <w:left w:val="single" w:sz="4" w:space="4" w:color="auto"/>
          <w:bottom w:val="single" w:sz="4" w:space="0" w:color="auto"/>
          <w:right w:val="single" w:sz="4" w:space="4" w:color="auto"/>
        </w:pBdr>
        <w:shd w:val="clear" w:color="auto" w:fill="C6D9F1" w:themeFill="text2" w:themeFillTint="33"/>
        <w:rPr>
          <w:noProof/>
          <w:szCs w:val="24"/>
          <w:lang w:val="en-IE"/>
        </w:rPr>
      </w:pPr>
      <w:bookmarkStart w:id="98" w:name="_Toc223439280"/>
      <w:r w:rsidRPr="00575CC5">
        <w:rPr>
          <w:noProof/>
          <w:szCs w:val="24"/>
          <w:lang w:val="en-IE"/>
        </w:rPr>
        <w:t>Annex IV. Overview of benefits and costs</w:t>
      </w:r>
      <w:bookmarkEnd w:id="98"/>
    </w:p>
    <w:p w14:paraId="2A38F597" w14:textId="5EA3AEC5" w:rsidR="006D32A9" w:rsidRPr="008A47B8" w:rsidRDefault="00161A26">
      <w:pPr>
        <w:rPr>
          <w:rFonts w:ascii="Times New Roman" w:hAnsi="Times New Roman" w:cs="Times New Roman"/>
          <w:i/>
          <w:noProof/>
          <w:sz w:val="24"/>
          <w:szCs w:val="24"/>
        </w:rPr>
      </w:pPr>
      <w:r w:rsidRPr="00575CC5">
        <w:rPr>
          <w:rFonts w:ascii="Times New Roman" w:hAnsi="Times New Roman" w:cs="Times New Roman"/>
          <w:i/>
          <w:noProof/>
          <w:sz w:val="24"/>
          <w:szCs w:val="24"/>
          <w:lang w:val="en-IE"/>
        </w:rPr>
        <w:br w:type="page"/>
      </w:r>
    </w:p>
    <w:tbl>
      <w:tblPr>
        <w:tblStyle w:val="CV112"/>
        <w:tblpPr w:leftFromText="180" w:rightFromText="180" w:vertAnchor="page" w:horzAnchor="margin" w:tblpY="1046"/>
        <w:tblW w:w="9316"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486"/>
        <w:gridCol w:w="366"/>
        <w:gridCol w:w="1451"/>
        <w:gridCol w:w="1146"/>
        <w:gridCol w:w="1038"/>
        <w:gridCol w:w="850"/>
        <w:gridCol w:w="1114"/>
        <w:gridCol w:w="1865"/>
      </w:tblGrid>
      <w:tr w:rsidR="008A47B8" w:rsidRPr="0005267B" w14:paraId="787E8612" w14:textId="77777777" w:rsidTr="008A47B8">
        <w:trPr>
          <w:trHeight w:val="282"/>
        </w:trPr>
        <w:tc>
          <w:tcPr>
            <w:tcW w:w="993" w:type="pct"/>
            <w:gridSpan w:val="2"/>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2CE1D93B" w14:textId="56C29F1D" w:rsidR="006D32A9" w:rsidRDefault="006D32A9" w:rsidP="008A47B8">
            <w:pPr>
              <w:tabs>
                <w:tab w:val="num" w:pos="425"/>
                <w:tab w:val="left" w:pos="974"/>
              </w:tabs>
              <w:ind w:hanging="783"/>
              <w:rPr>
                <w:bCs/>
                <w:noProof/>
              </w:rPr>
            </w:pPr>
          </w:p>
          <w:p w14:paraId="6632607E" w14:textId="1E3FC2EB" w:rsidR="005A3428" w:rsidRPr="0005267B" w:rsidRDefault="005A3428" w:rsidP="008A47B8">
            <w:pPr>
              <w:tabs>
                <w:tab w:val="num" w:pos="425"/>
                <w:tab w:val="left" w:pos="974"/>
              </w:tabs>
              <w:ind w:hanging="783"/>
              <w:rPr>
                <w:bCs/>
                <w:noProof/>
              </w:rPr>
            </w:pPr>
          </w:p>
        </w:tc>
        <w:tc>
          <w:tcPr>
            <w:tcW w:w="1394" w:type="pct"/>
            <w:gridSpan w:val="2"/>
            <w:tcBorders>
              <w:left w:val="double" w:sz="4" w:space="0" w:color="auto"/>
            </w:tcBorders>
            <w:tcMar>
              <w:top w:w="57" w:type="dxa"/>
              <w:left w:w="57" w:type="dxa"/>
              <w:bottom w:w="57" w:type="dxa"/>
              <w:right w:w="57" w:type="dxa"/>
            </w:tcMar>
          </w:tcPr>
          <w:p w14:paraId="35ACBC48" w14:textId="77777777" w:rsidR="006D32A9" w:rsidRPr="0005267B" w:rsidRDefault="006D32A9" w:rsidP="00D87499">
            <w:pPr>
              <w:tabs>
                <w:tab w:val="num" w:pos="425"/>
              </w:tabs>
              <w:jc w:val="center"/>
              <w:rPr>
                <w:bCs/>
                <w:noProof/>
              </w:rPr>
            </w:pPr>
            <w:r w:rsidRPr="0005267B">
              <w:rPr>
                <w:bCs/>
                <w:noProof/>
              </w:rPr>
              <w:t xml:space="preserve">Citizens/Consumers </w:t>
            </w:r>
          </w:p>
        </w:tc>
        <w:tc>
          <w:tcPr>
            <w:tcW w:w="1013" w:type="pct"/>
            <w:gridSpan w:val="2"/>
            <w:tcMar>
              <w:top w:w="57" w:type="dxa"/>
              <w:left w:w="57" w:type="dxa"/>
              <w:bottom w:w="57" w:type="dxa"/>
              <w:right w:w="57" w:type="dxa"/>
            </w:tcMar>
          </w:tcPr>
          <w:p w14:paraId="3EBFEF52" w14:textId="77777777" w:rsidR="006D32A9" w:rsidRPr="009A39FA" w:rsidRDefault="006D32A9" w:rsidP="00D87499">
            <w:pPr>
              <w:tabs>
                <w:tab w:val="num" w:pos="425"/>
              </w:tabs>
              <w:jc w:val="center"/>
              <w:rPr>
                <w:noProof/>
              </w:rPr>
            </w:pPr>
            <w:r w:rsidRPr="009A39FA">
              <w:rPr>
                <w:noProof/>
              </w:rPr>
              <w:t>Businesses</w:t>
            </w:r>
          </w:p>
        </w:tc>
        <w:tc>
          <w:tcPr>
            <w:tcW w:w="1599" w:type="pct"/>
            <w:gridSpan w:val="2"/>
            <w:tcMar>
              <w:top w:w="57" w:type="dxa"/>
              <w:left w:w="57" w:type="dxa"/>
              <w:bottom w:w="57" w:type="dxa"/>
              <w:right w:w="57" w:type="dxa"/>
            </w:tcMar>
          </w:tcPr>
          <w:p w14:paraId="644CFC78" w14:textId="77777777" w:rsidR="006D32A9" w:rsidRPr="0005267B" w:rsidRDefault="006D32A9" w:rsidP="00D87499">
            <w:pPr>
              <w:tabs>
                <w:tab w:val="num" w:pos="425"/>
              </w:tabs>
              <w:jc w:val="center"/>
              <w:rPr>
                <w:bCs/>
                <w:noProof/>
              </w:rPr>
            </w:pPr>
            <w:r w:rsidRPr="0005267B">
              <w:rPr>
                <w:bCs/>
                <w:noProof/>
              </w:rPr>
              <w:t>Administrations</w:t>
            </w:r>
          </w:p>
        </w:tc>
      </w:tr>
      <w:tr w:rsidR="00DD5D4F" w:rsidRPr="0005267B" w14:paraId="2CDD4666" w14:textId="77777777" w:rsidTr="00DD5D4F">
        <w:trPr>
          <w:trHeight w:val="139"/>
        </w:trPr>
        <w:tc>
          <w:tcPr>
            <w:tcW w:w="993" w:type="pct"/>
            <w:gridSpan w:val="2"/>
            <w:vMerge/>
            <w:tcBorders>
              <w:tl2br w:val="double" w:sz="4" w:space="0" w:color="auto"/>
            </w:tcBorders>
            <w:tcMar>
              <w:top w:w="57" w:type="dxa"/>
              <w:left w:w="57" w:type="dxa"/>
              <w:bottom w:w="57" w:type="dxa"/>
              <w:right w:w="57" w:type="dxa"/>
            </w:tcMar>
          </w:tcPr>
          <w:p w14:paraId="28EA51C2" w14:textId="77777777" w:rsidR="006D32A9" w:rsidRPr="0005267B" w:rsidRDefault="006D32A9" w:rsidP="00D87499">
            <w:pPr>
              <w:tabs>
                <w:tab w:val="num" w:pos="425"/>
              </w:tabs>
              <w:jc w:val="center"/>
              <w:rPr>
                <w:bCs/>
                <w:noProof/>
              </w:rPr>
            </w:pPr>
          </w:p>
        </w:tc>
        <w:tc>
          <w:tcPr>
            <w:tcW w:w="779" w:type="pct"/>
            <w:tcBorders>
              <w:left w:val="double" w:sz="4" w:space="0" w:color="auto"/>
              <w:bottom w:val="double" w:sz="4" w:space="0" w:color="auto"/>
            </w:tcBorders>
            <w:tcMar>
              <w:top w:w="57" w:type="dxa"/>
              <w:left w:w="57" w:type="dxa"/>
              <w:bottom w:w="57" w:type="dxa"/>
              <w:right w:w="57" w:type="dxa"/>
            </w:tcMar>
          </w:tcPr>
          <w:p w14:paraId="404F44A3" w14:textId="77777777" w:rsidR="006D32A9" w:rsidRPr="0005267B" w:rsidRDefault="006D32A9" w:rsidP="00D87499">
            <w:pPr>
              <w:tabs>
                <w:tab w:val="num" w:pos="425"/>
              </w:tabs>
              <w:jc w:val="center"/>
              <w:rPr>
                <w:bCs/>
                <w:noProof/>
              </w:rPr>
            </w:pPr>
            <w:r w:rsidRPr="0005267B">
              <w:rPr>
                <w:bCs/>
                <w:noProof/>
              </w:rPr>
              <w:t xml:space="preserve">Quantitative </w:t>
            </w:r>
          </w:p>
        </w:tc>
        <w:tc>
          <w:tcPr>
            <w:tcW w:w="615" w:type="pct"/>
            <w:tcBorders>
              <w:bottom w:val="double" w:sz="4" w:space="0" w:color="auto"/>
            </w:tcBorders>
            <w:tcMar>
              <w:top w:w="57" w:type="dxa"/>
              <w:left w:w="57" w:type="dxa"/>
              <w:bottom w:w="57" w:type="dxa"/>
              <w:right w:w="57" w:type="dxa"/>
            </w:tcMar>
          </w:tcPr>
          <w:p w14:paraId="3C08EDCB" w14:textId="77777777" w:rsidR="006D32A9" w:rsidRPr="0005267B" w:rsidRDefault="006D32A9" w:rsidP="00D87499">
            <w:pPr>
              <w:tabs>
                <w:tab w:val="num" w:pos="425"/>
              </w:tabs>
              <w:jc w:val="center"/>
              <w:rPr>
                <w:bCs/>
                <w:noProof/>
              </w:rPr>
            </w:pPr>
            <w:r w:rsidRPr="0005267B">
              <w:rPr>
                <w:bCs/>
                <w:noProof/>
              </w:rPr>
              <w:t>Comment</w:t>
            </w:r>
          </w:p>
        </w:tc>
        <w:tc>
          <w:tcPr>
            <w:tcW w:w="557" w:type="pct"/>
            <w:tcBorders>
              <w:bottom w:val="double" w:sz="4" w:space="0" w:color="auto"/>
            </w:tcBorders>
            <w:tcMar>
              <w:top w:w="57" w:type="dxa"/>
              <w:left w:w="57" w:type="dxa"/>
              <w:bottom w:w="57" w:type="dxa"/>
              <w:right w:w="57" w:type="dxa"/>
            </w:tcMar>
          </w:tcPr>
          <w:p w14:paraId="3D9750A6" w14:textId="77777777" w:rsidR="006D32A9" w:rsidRPr="009A39FA" w:rsidRDefault="006D32A9" w:rsidP="00D87499">
            <w:pPr>
              <w:tabs>
                <w:tab w:val="num" w:pos="425"/>
              </w:tabs>
              <w:jc w:val="center"/>
              <w:rPr>
                <w:noProof/>
              </w:rPr>
            </w:pPr>
            <w:r w:rsidRPr="009A39FA">
              <w:rPr>
                <w:noProof/>
              </w:rPr>
              <w:t xml:space="preserve">Quantitative </w:t>
            </w:r>
          </w:p>
        </w:tc>
        <w:tc>
          <w:tcPr>
            <w:tcW w:w="456" w:type="pct"/>
            <w:tcBorders>
              <w:bottom w:val="double" w:sz="4" w:space="0" w:color="auto"/>
            </w:tcBorders>
            <w:tcMar>
              <w:top w:w="57" w:type="dxa"/>
              <w:left w:w="57" w:type="dxa"/>
              <w:bottom w:w="57" w:type="dxa"/>
              <w:right w:w="57" w:type="dxa"/>
            </w:tcMar>
          </w:tcPr>
          <w:p w14:paraId="70FDCA37" w14:textId="77777777" w:rsidR="006D32A9" w:rsidRPr="009A39FA" w:rsidRDefault="006D32A9" w:rsidP="00D87499">
            <w:pPr>
              <w:tabs>
                <w:tab w:val="num" w:pos="425"/>
              </w:tabs>
              <w:jc w:val="center"/>
              <w:rPr>
                <w:noProof/>
              </w:rPr>
            </w:pPr>
            <w:r w:rsidRPr="009A39FA">
              <w:rPr>
                <w:noProof/>
              </w:rPr>
              <w:t>Comment</w:t>
            </w:r>
          </w:p>
        </w:tc>
        <w:tc>
          <w:tcPr>
            <w:tcW w:w="598" w:type="pct"/>
            <w:tcBorders>
              <w:bottom w:val="double" w:sz="4" w:space="0" w:color="auto"/>
            </w:tcBorders>
            <w:tcMar>
              <w:top w:w="57" w:type="dxa"/>
              <w:left w:w="57" w:type="dxa"/>
              <w:bottom w:w="57" w:type="dxa"/>
              <w:right w:w="57" w:type="dxa"/>
            </w:tcMar>
          </w:tcPr>
          <w:p w14:paraId="53439EFC" w14:textId="77777777" w:rsidR="006D32A9" w:rsidRPr="0005267B" w:rsidRDefault="006D32A9" w:rsidP="00D87499">
            <w:pPr>
              <w:tabs>
                <w:tab w:val="num" w:pos="425"/>
              </w:tabs>
              <w:jc w:val="center"/>
              <w:rPr>
                <w:bCs/>
                <w:noProof/>
              </w:rPr>
            </w:pPr>
            <w:r w:rsidRPr="0005267B">
              <w:rPr>
                <w:bCs/>
                <w:noProof/>
              </w:rPr>
              <w:t>Quantitative</w:t>
            </w:r>
          </w:p>
        </w:tc>
        <w:tc>
          <w:tcPr>
            <w:tcW w:w="1001" w:type="pct"/>
            <w:tcBorders>
              <w:bottom w:val="double" w:sz="4" w:space="0" w:color="auto"/>
            </w:tcBorders>
            <w:tcMar>
              <w:top w:w="57" w:type="dxa"/>
              <w:left w:w="57" w:type="dxa"/>
              <w:bottom w:w="57" w:type="dxa"/>
              <w:right w:w="57" w:type="dxa"/>
            </w:tcMar>
          </w:tcPr>
          <w:p w14:paraId="6436FEE3" w14:textId="77777777" w:rsidR="006D32A9" w:rsidRPr="0005267B" w:rsidRDefault="006D32A9" w:rsidP="00D87499">
            <w:pPr>
              <w:tabs>
                <w:tab w:val="num" w:pos="425"/>
              </w:tabs>
              <w:jc w:val="center"/>
              <w:rPr>
                <w:bCs/>
                <w:noProof/>
              </w:rPr>
            </w:pPr>
            <w:r w:rsidRPr="0005267B">
              <w:rPr>
                <w:bCs/>
                <w:noProof/>
              </w:rPr>
              <w:t>Comment</w:t>
            </w:r>
            <w:r w:rsidRPr="0005267B" w:rsidDel="00754A9D">
              <w:rPr>
                <w:bCs/>
                <w:noProof/>
              </w:rPr>
              <w:t xml:space="preserve"> </w:t>
            </w:r>
          </w:p>
        </w:tc>
      </w:tr>
      <w:tr w:rsidR="00DD5D4F" w:rsidRPr="0005267B" w14:paraId="323DBEB7" w14:textId="77777777" w:rsidTr="00DD5D4F">
        <w:trPr>
          <w:trHeight w:val="1656"/>
        </w:trPr>
        <w:tc>
          <w:tcPr>
            <w:tcW w:w="797" w:type="pct"/>
            <w:tcBorders>
              <w:bottom w:val="single" w:sz="4" w:space="0" w:color="auto"/>
            </w:tcBorders>
            <w:tcMar>
              <w:top w:w="57" w:type="dxa"/>
              <w:left w:w="57" w:type="dxa"/>
              <w:bottom w:w="57" w:type="dxa"/>
              <w:right w:w="57" w:type="dxa"/>
            </w:tcMar>
            <w:vAlign w:val="center"/>
          </w:tcPr>
          <w:p w14:paraId="3FE27B2A" w14:textId="77777777" w:rsidR="006D32A9" w:rsidRPr="00DF4375" w:rsidRDefault="006D32A9" w:rsidP="00D87499">
            <w:pPr>
              <w:tabs>
                <w:tab w:val="num" w:pos="425"/>
              </w:tabs>
              <w:rPr>
                <w:bCs/>
                <w:i/>
                <w:noProof/>
              </w:rPr>
            </w:pPr>
          </w:p>
          <w:p w14:paraId="6E9BD85D" w14:textId="77777777" w:rsidR="006D32A9" w:rsidRPr="00DF4375" w:rsidRDefault="006D32A9" w:rsidP="00D87499">
            <w:pPr>
              <w:tabs>
                <w:tab w:val="num" w:pos="425"/>
              </w:tabs>
              <w:rPr>
                <w:bCs/>
                <w:i/>
                <w:noProof/>
              </w:rPr>
            </w:pPr>
          </w:p>
          <w:p w14:paraId="6BC86D61" w14:textId="77777777" w:rsidR="006D32A9" w:rsidRPr="00DF4375" w:rsidRDefault="006D32A9" w:rsidP="00D87499">
            <w:pPr>
              <w:tabs>
                <w:tab w:val="num" w:pos="425"/>
              </w:tabs>
              <w:rPr>
                <w:bCs/>
                <w:i/>
                <w:noProof/>
              </w:rPr>
            </w:pPr>
          </w:p>
          <w:p w14:paraId="03191D59" w14:textId="77777777" w:rsidR="006D32A9" w:rsidRPr="00DF4375" w:rsidRDefault="006D32A9" w:rsidP="00D87499">
            <w:pPr>
              <w:tabs>
                <w:tab w:val="num" w:pos="425"/>
              </w:tabs>
              <w:rPr>
                <w:bCs/>
                <w:noProof/>
              </w:rPr>
            </w:pPr>
          </w:p>
        </w:tc>
        <w:tc>
          <w:tcPr>
            <w:tcW w:w="195" w:type="pct"/>
            <w:tcBorders>
              <w:bottom w:val="single" w:sz="4" w:space="0" w:color="auto"/>
              <w:right w:val="double" w:sz="4" w:space="0" w:color="auto"/>
            </w:tcBorders>
            <w:tcMar>
              <w:top w:w="57" w:type="dxa"/>
              <w:left w:w="57" w:type="dxa"/>
              <w:bottom w:w="57" w:type="dxa"/>
              <w:right w:w="57" w:type="dxa"/>
            </w:tcMar>
            <w:vAlign w:val="center"/>
          </w:tcPr>
          <w:p w14:paraId="7587A397" w14:textId="77777777" w:rsidR="006D32A9" w:rsidRPr="00DF4375" w:rsidRDefault="006D32A9" w:rsidP="00D87499">
            <w:pPr>
              <w:tabs>
                <w:tab w:val="num" w:pos="425"/>
              </w:tabs>
              <w:rPr>
                <w:bCs/>
                <w:noProof/>
              </w:rPr>
            </w:pPr>
          </w:p>
        </w:tc>
        <w:tc>
          <w:tcPr>
            <w:tcW w:w="779" w:type="pct"/>
            <w:tcBorders>
              <w:left w:val="double" w:sz="4" w:space="0" w:color="auto"/>
              <w:bottom w:val="single" w:sz="4" w:space="0" w:color="auto"/>
            </w:tcBorders>
            <w:tcMar>
              <w:top w:w="57" w:type="dxa"/>
              <w:left w:w="57" w:type="dxa"/>
              <w:bottom w:w="57" w:type="dxa"/>
              <w:right w:w="57" w:type="dxa"/>
            </w:tcMar>
          </w:tcPr>
          <w:p w14:paraId="6F9BC3E7" w14:textId="77777777" w:rsidR="006D32A9" w:rsidRPr="00D87499" w:rsidRDefault="006D32A9" w:rsidP="008A47B8">
            <w:pPr>
              <w:tabs>
                <w:tab w:val="num" w:pos="425"/>
              </w:tabs>
              <w:jc w:val="center"/>
              <w:rPr>
                <w:bCs/>
                <w:noProof/>
              </w:rPr>
            </w:pPr>
            <w:r w:rsidRPr="00D87499">
              <w:rPr>
                <w:bCs/>
                <w:noProof/>
              </w:rPr>
              <w:t>N/A</w:t>
            </w:r>
          </w:p>
        </w:tc>
        <w:tc>
          <w:tcPr>
            <w:tcW w:w="615" w:type="pct"/>
            <w:tcBorders>
              <w:bottom w:val="single" w:sz="4" w:space="0" w:color="auto"/>
            </w:tcBorders>
            <w:tcMar>
              <w:top w:w="57" w:type="dxa"/>
              <w:left w:w="57" w:type="dxa"/>
              <w:bottom w:w="57" w:type="dxa"/>
              <w:right w:w="57" w:type="dxa"/>
            </w:tcMar>
          </w:tcPr>
          <w:p w14:paraId="45B762FD" w14:textId="03FD5EBA" w:rsidR="006D32A9" w:rsidRPr="00D87499" w:rsidRDefault="00D87499" w:rsidP="008A47B8">
            <w:pPr>
              <w:tabs>
                <w:tab w:val="num" w:pos="425"/>
              </w:tabs>
              <w:jc w:val="center"/>
              <w:rPr>
                <w:bCs/>
                <w:noProof/>
              </w:rPr>
            </w:pPr>
            <w:r w:rsidRPr="00D87499">
              <w:rPr>
                <w:bCs/>
                <w:noProof/>
              </w:rPr>
              <w:t>N/A</w:t>
            </w:r>
          </w:p>
        </w:tc>
        <w:tc>
          <w:tcPr>
            <w:tcW w:w="557" w:type="pct"/>
            <w:tcBorders>
              <w:bottom w:val="single" w:sz="4" w:space="0" w:color="auto"/>
            </w:tcBorders>
            <w:tcMar>
              <w:top w:w="57" w:type="dxa"/>
              <w:left w:w="57" w:type="dxa"/>
              <w:bottom w:w="57" w:type="dxa"/>
              <w:right w:w="57" w:type="dxa"/>
            </w:tcMar>
          </w:tcPr>
          <w:p w14:paraId="275D574F" w14:textId="77777777" w:rsidR="006D32A9" w:rsidRPr="00D87499" w:rsidRDefault="006D32A9" w:rsidP="008A47B8">
            <w:pPr>
              <w:tabs>
                <w:tab w:val="num" w:pos="425"/>
              </w:tabs>
              <w:jc w:val="center"/>
              <w:rPr>
                <w:bCs/>
                <w:noProof/>
              </w:rPr>
            </w:pPr>
            <w:r w:rsidRPr="00D87499">
              <w:rPr>
                <w:bCs/>
                <w:noProof/>
              </w:rPr>
              <w:t>N/A</w:t>
            </w:r>
          </w:p>
        </w:tc>
        <w:tc>
          <w:tcPr>
            <w:tcW w:w="456" w:type="pct"/>
            <w:tcBorders>
              <w:bottom w:val="single" w:sz="4" w:space="0" w:color="auto"/>
            </w:tcBorders>
            <w:tcMar>
              <w:top w:w="57" w:type="dxa"/>
              <w:left w:w="57" w:type="dxa"/>
              <w:bottom w:w="57" w:type="dxa"/>
              <w:right w:w="57" w:type="dxa"/>
            </w:tcMar>
          </w:tcPr>
          <w:p w14:paraId="42EB2B8B" w14:textId="77777777" w:rsidR="006D32A9" w:rsidRPr="00D87499" w:rsidRDefault="006D32A9" w:rsidP="008A47B8">
            <w:pPr>
              <w:tabs>
                <w:tab w:val="num" w:pos="425"/>
              </w:tabs>
              <w:jc w:val="center"/>
              <w:rPr>
                <w:bCs/>
                <w:noProof/>
              </w:rPr>
            </w:pPr>
            <w:r w:rsidRPr="00D87499">
              <w:rPr>
                <w:bCs/>
                <w:noProof/>
              </w:rPr>
              <w:t>N/A</w:t>
            </w:r>
          </w:p>
        </w:tc>
        <w:tc>
          <w:tcPr>
            <w:tcW w:w="598" w:type="pct"/>
            <w:tcBorders>
              <w:bottom w:val="single" w:sz="4" w:space="0" w:color="auto"/>
            </w:tcBorders>
            <w:tcMar>
              <w:top w:w="57" w:type="dxa"/>
              <w:left w:w="57" w:type="dxa"/>
              <w:bottom w:w="57" w:type="dxa"/>
              <w:right w:w="57" w:type="dxa"/>
            </w:tcMar>
          </w:tcPr>
          <w:p w14:paraId="52F25607" w14:textId="77777777" w:rsidR="006D32A9" w:rsidRPr="00D87499" w:rsidRDefault="006D32A9" w:rsidP="008A47B8">
            <w:pPr>
              <w:tabs>
                <w:tab w:val="num" w:pos="425"/>
              </w:tabs>
              <w:jc w:val="center"/>
              <w:rPr>
                <w:bCs/>
                <w:noProof/>
              </w:rPr>
            </w:pPr>
            <w:r w:rsidRPr="00D87499">
              <w:rPr>
                <w:bCs/>
                <w:noProof/>
              </w:rPr>
              <w:t>N/A</w:t>
            </w:r>
          </w:p>
        </w:tc>
        <w:tc>
          <w:tcPr>
            <w:tcW w:w="1001" w:type="pct"/>
            <w:tcBorders>
              <w:bottom w:val="single" w:sz="4" w:space="0" w:color="auto"/>
            </w:tcBorders>
            <w:tcMar>
              <w:top w:w="57" w:type="dxa"/>
              <w:left w:w="57" w:type="dxa"/>
              <w:bottom w:w="57" w:type="dxa"/>
              <w:right w:w="57" w:type="dxa"/>
            </w:tcMar>
          </w:tcPr>
          <w:p w14:paraId="35DB1EEA" w14:textId="77777777" w:rsidR="006D32A9" w:rsidRPr="00D87499" w:rsidRDefault="006D32A9" w:rsidP="00D87499">
            <w:pPr>
              <w:tabs>
                <w:tab w:val="num" w:pos="425"/>
              </w:tabs>
              <w:rPr>
                <w:bCs/>
                <w:noProof/>
              </w:rPr>
            </w:pPr>
          </w:p>
        </w:tc>
      </w:tr>
      <w:tr w:rsidR="00DD5D4F" w:rsidRPr="0005267B" w14:paraId="68BD3437" w14:textId="77777777" w:rsidTr="00DD5D4F">
        <w:trPr>
          <w:trHeight w:val="1830"/>
        </w:trPr>
        <w:tc>
          <w:tcPr>
            <w:tcW w:w="797" w:type="pct"/>
            <w:tcBorders>
              <w:top w:val="single" w:sz="4" w:space="0" w:color="auto"/>
              <w:bottom w:val="single" w:sz="4" w:space="0" w:color="auto"/>
            </w:tcBorders>
            <w:tcMar>
              <w:top w:w="57" w:type="dxa"/>
              <w:left w:w="57" w:type="dxa"/>
              <w:bottom w:w="57" w:type="dxa"/>
              <w:right w:w="57" w:type="dxa"/>
            </w:tcMar>
            <w:vAlign w:val="center"/>
          </w:tcPr>
          <w:p w14:paraId="05CA45CE" w14:textId="77777777" w:rsidR="006D32A9" w:rsidRPr="00DF4375" w:rsidRDefault="006D32A9" w:rsidP="00D87499">
            <w:pPr>
              <w:tabs>
                <w:tab w:val="num" w:pos="425"/>
              </w:tabs>
              <w:rPr>
                <w:bCs/>
                <w:i/>
                <w:noProof/>
              </w:rPr>
            </w:pPr>
          </w:p>
          <w:p w14:paraId="3BE4A2B6" w14:textId="77777777" w:rsidR="006D32A9" w:rsidRPr="0005267B" w:rsidRDefault="006D32A9" w:rsidP="00D87499">
            <w:pPr>
              <w:tabs>
                <w:tab w:val="num" w:pos="425"/>
              </w:tabs>
              <w:jc w:val="center"/>
              <w:rPr>
                <w:bCs/>
                <w:noProof/>
              </w:rPr>
            </w:pPr>
            <w:r w:rsidRPr="00DF4375">
              <w:rPr>
                <w:bCs/>
                <w:noProof/>
              </w:rPr>
              <w:t>Costs:</w:t>
            </w:r>
          </w:p>
          <w:p w14:paraId="4D4306C5" w14:textId="77777777" w:rsidR="006D32A9" w:rsidRPr="0005267B" w:rsidRDefault="006D32A9" w:rsidP="00D87499">
            <w:pPr>
              <w:tabs>
                <w:tab w:val="num" w:pos="425"/>
              </w:tabs>
              <w:rPr>
                <w:bCs/>
                <w:noProof/>
                <w:sz w:val="16"/>
                <w:szCs w:val="16"/>
              </w:rPr>
            </w:pPr>
            <w:r w:rsidRPr="00DF4375">
              <w:rPr>
                <w:bCs/>
                <w:noProof/>
              </w:rPr>
              <w:t>Direct compliance costs</w:t>
            </w:r>
            <w:r w:rsidRPr="0005267B">
              <w:rPr>
                <w:bCs/>
                <w:noProof/>
              </w:rPr>
              <w:t xml:space="preserve"> </w:t>
            </w:r>
            <w:r w:rsidRPr="0005267B">
              <w:rPr>
                <w:bCs/>
                <w:noProof/>
                <w:sz w:val="16"/>
                <w:szCs w:val="16"/>
              </w:rPr>
              <w:t>(adjustment costs, administrative costs, regulatory charges)</w:t>
            </w:r>
          </w:p>
          <w:p w14:paraId="1F678790" w14:textId="77777777" w:rsidR="006D32A9" w:rsidRPr="0005267B" w:rsidRDefault="006D32A9" w:rsidP="00D87499">
            <w:pPr>
              <w:tabs>
                <w:tab w:val="num" w:pos="425"/>
              </w:tabs>
              <w:rPr>
                <w:bCs/>
                <w:noProof/>
                <w:sz w:val="16"/>
                <w:szCs w:val="16"/>
              </w:rPr>
            </w:pPr>
          </w:p>
          <w:p w14:paraId="61C86A8A" w14:textId="77777777" w:rsidR="006D32A9" w:rsidRPr="0005267B" w:rsidRDefault="006D32A9" w:rsidP="00D87499">
            <w:pPr>
              <w:tabs>
                <w:tab w:val="num" w:pos="425"/>
              </w:tabs>
              <w:rPr>
                <w:bCs/>
                <w:noProof/>
                <w:sz w:val="16"/>
                <w:szCs w:val="16"/>
              </w:rPr>
            </w:pPr>
          </w:p>
          <w:p w14:paraId="60AC180F" w14:textId="77777777" w:rsidR="006D32A9" w:rsidRPr="00DF4375" w:rsidRDefault="006D32A9" w:rsidP="00D87499">
            <w:pPr>
              <w:tabs>
                <w:tab w:val="num" w:pos="425"/>
              </w:tabs>
              <w:rPr>
                <w:bCs/>
                <w:noProof/>
              </w:rPr>
            </w:pPr>
          </w:p>
        </w:tc>
        <w:tc>
          <w:tcPr>
            <w:tcW w:w="195" w:type="pct"/>
            <w:tcBorders>
              <w:top w:val="single" w:sz="4" w:space="0" w:color="auto"/>
              <w:bottom w:val="single" w:sz="4" w:space="0" w:color="auto"/>
              <w:right w:val="double" w:sz="4" w:space="0" w:color="auto"/>
            </w:tcBorders>
            <w:tcMar>
              <w:top w:w="57" w:type="dxa"/>
              <w:left w:w="57" w:type="dxa"/>
              <w:bottom w:w="57" w:type="dxa"/>
              <w:right w:w="57" w:type="dxa"/>
            </w:tcMar>
            <w:vAlign w:val="center"/>
          </w:tcPr>
          <w:p w14:paraId="4523CED1" w14:textId="77777777" w:rsidR="006D32A9" w:rsidRPr="00DF4375" w:rsidDel="009607B4" w:rsidRDefault="006D32A9" w:rsidP="00D87499">
            <w:pPr>
              <w:tabs>
                <w:tab w:val="num" w:pos="425"/>
              </w:tabs>
              <w:rPr>
                <w:bCs/>
                <w:noProof/>
              </w:rPr>
            </w:pPr>
          </w:p>
        </w:tc>
        <w:tc>
          <w:tcPr>
            <w:tcW w:w="779" w:type="pct"/>
            <w:tcBorders>
              <w:top w:val="single" w:sz="4" w:space="0" w:color="auto"/>
              <w:left w:val="double" w:sz="4" w:space="0" w:color="auto"/>
              <w:bottom w:val="single" w:sz="4" w:space="0" w:color="auto"/>
            </w:tcBorders>
            <w:tcMar>
              <w:top w:w="57" w:type="dxa"/>
              <w:left w:w="57" w:type="dxa"/>
              <w:bottom w:w="57" w:type="dxa"/>
              <w:right w:w="57" w:type="dxa"/>
            </w:tcMar>
          </w:tcPr>
          <w:p w14:paraId="09C1F9D3" w14:textId="77777777" w:rsidR="006D32A9" w:rsidRPr="00D87499" w:rsidRDefault="006D32A9" w:rsidP="008A47B8">
            <w:pPr>
              <w:tabs>
                <w:tab w:val="num" w:pos="425"/>
              </w:tabs>
              <w:jc w:val="center"/>
              <w:rPr>
                <w:bCs/>
                <w:noProof/>
              </w:rPr>
            </w:pPr>
            <w:r w:rsidRPr="00D87499">
              <w:rPr>
                <w:bCs/>
                <w:noProof/>
              </w:rPr>
              <w:t>N/A</w:t>
            </w:r>
          </w:p>
        </w:tc>
        <w:tc>
          <w:tcPr>
            <w:tcW w:w="615" w:type="pct"/>
            <w:tcBorders>
              <w:top w:val="single" w:sz="4" w:space="0" w:color="auto"/>
              <w:bottom w:val="single" w:sz="4" w:space="0" w:color="auto"/>
            </w:tcBorders>
            <w:tcMar>
              <w:top w:w="57" w:type="dxa"/>
              <w:left w:w="57" w:type="dxa"/>
              <w:bottom w:w="57" w:type="dxa"/>
              <w:right w:w="57" w:type="dxa"/>
            </w:tcMar>
          </w:tcPr>
          <w:p w14:paraId="7199DB95" w14:textId="77777777" w:rsidR="006D32A9" w:rsidRPr="00D87499" w:rsidRDefault="006D32A9" w:rsidP="008A47B8">
            <w:pPr>
              <w:tabs>
                <w:tab w:val="num" w:pos="425"/>
              </w:tabs>
              <w:jc w:val="center"/>
              <w:rPr>
                <w:bCs/>
                <w:noProof/>
              </w:rPr>
            </w:pPr>
            <w:r w:rsidRPr="00D87499">
              <w:rPr>
                <w:bCs/>
                <w:noProof/>
              </w:rPr>
              <w:t>N/A</w:t>
            </w:r>
          </w:p>
        </w:tc>
        <w:tc>
          <w:tcPr>
            <w:tcW w:w="557" w:type="pct"/>
            <w:tcBorders>
              <w:top w:val="single" w:sz="4" w:space="0" w:color="auto"/>
              <w:bottom w:val="single" w:sz="4" w:space="0" w:color="auto"/>
            </w:tcBorders>
            <w:tcMar>
              <w:top w:w="57" w:type="dxa"/>
              <w:left w:w="57" w:type="dxa"/>
              <w:bottom w:w="57" w:type="dxa"/>
              <w:right w:w="57" w:type="dxa"/>
            </w:tcMar>
          </w:tcPr>
          <w:p w14:paraId="3689CB5B" w14:textId="77777777" w:rsidR="006D32A9" w:rsidRPr="00D87499" w:rsidRDefault="006D32A9" w:rsidP="008A47B8">
            <w:pPr>
              <w:tabs>
                <w:tab w:val="num" w:pos="425"/>
              </w:tabs>
              <w:jc w:val="center"/>
              <w:rPr>
                <w:bCs/>
                <w:noProof/>
              </w:rPr>
            </w:pPr>
            <w:r w:rsidRPr="00D87499">
              <w:rPr>
                <w:bCs/>
                <w:noProof/>
              </w:rPr>
              <w:t>N/A</w:t>
            </w:r>
          </w:p>
        </w:tc>
        <w:tc>
          <w:tcPr>
            <w:tcW w:w="456" w:type="pct"/>
            <w:tcBorders>
              <w:top w:val="single" w:sz="4" w:space="0" w:color="auto"/>
              <w:bottom w:val="single" w:sz="4" w:space="0" w:color="auto"/>
            </w:tcBorders>
            <w:tcMar>
              <w:top w:w="57" w:type="dxa"/>
              <w:left w:w="57" w:type="dxa"/>
              <w:bottom w:w="57" w:type="dxa"/>
              <w:right w:w="57" w:type="dxa"/>
            </w:tcMar>
          </w:tcPr>
          <w:p w14:paraId="5F4B2F02" w14:textId="77777777" w:rsidR="006D32A9" w:rsidRPr="00D87499" w:rsidRDefault="006D32A9" w:rsidP="008A47B8">
            <w:pPr>
              <w:tabs>
                <w:tab w:val="num" w:pos="425"/>
              </w:tabs>
              <w:jc w:val="center"/>
              <w:rPr>
                <w:bCs/>
                <w:noProof/>
              </w:rPr>
            </w:pPr>
            <w:r w:rsidRPr="00D87499">
              <w:rPr>
                <w:bCs/>
                <w:noProof/>
              </w:rPr>
              <w:t>N/A</w:t>
            </w:r>
          </w:p>
        </w:tc>
        <w:tc>
          <w:tcPr>
            <w:tcW w:w="598" w:type="pct"/>
            <w:tcBorders>
              <w:top w:val="single" w:sz="4" w:space="0" w:color="auto"/>
              <w:bottom w:val="single" w:sz="4" w:space="0" w:color="auto"/>
            </w:tcBorders>
            <w:tcMar>
              <w:top w:w="57" w:type="dxa"/>
              <w:left w:w="57" w:type="dxa"/>
              <w:bottom w:w="57" w:type="dxa"/>
              <w:right w:w="57" w:type="dxa"/>
            </w:tcMar>
          </w:tcPr>
          <w:p w14:paraId="62574E78" w14:textId="77777777" w:rsidR="006D32A9" w:rsidRPr="00D87499" w:rsidRDefault="006D32A9" w:rsidP="008A47B8">
            <w:pPr>
              <w:tabs>
                <w:tab w:val="num" w:pos="425"/>
              </w:tabs>
              <w:jc w:val="center"/>
              <w:rPr>
                <w:bCs/>
                <w:noProof/>
              </w:rPr>
            </w:pPr>
            <w:r w:rsidRPr="00D87499">
              <w:rPr>
                <w:bCs/>
                <w:noProof/>
              </w:rPr>
              <w:t>N/A</w:t>
            </w:r>
          </w:p>
        </w:tc>
        <w:tc>
          <w:tcPr>
            <w:tcW w:w="1001" w:type="pct"/>
            <w:tcBorders>
              <w:top w:val="single" w:sz="4" w:space="0" w:color="auto"/>
              <w:bottom w:val="single" w:sz="4" w:space="0" w:color="auto"/>
            </w:tcBorders>
            <w:tcMar>
              <w:top w:w="57" w:type="dxa"/>
              <w:left w:w="57" w:type="dxa"/>
              <w:bottom w:w="57" w:type="dxa"/>
              <w:right w:w="57" w:type="dxa"/>
            </w:tcMar>
          </w:tcPr>
          <w:p w14:paraId="4A6A3D44" w14:textId="035F0616" w:rsidR="006D32A9" w:rsidRPr="00D87499" w:rsidRDefault="006D32A9" w:rsidP="00D87499">
            <w:pPr>
              <w:tabs>
                <w:tab w:val="num" w:pos="425"/>
              </w:tabs>
              <w:rPr>
                <w:bCs/>
                <w:noProof/>
              </w:rPr>
            </w:pPr>
            <w:r w:rsidRPr="00D87499">
              <w:rPr>
                <w:bCs/>
                <w:noProof/>
              </w:rPr>
              <w:t xml:space="preserve">The main administrative costs relate to the transposition of the Directive, in terms of amending national legislation as needed. </w:t>
            </w:r>
          </w:p>
        </w:tc>
      </w:tr>
      <w:tr w:rsidR="00DD5D4F" w:rsidRPr="0005267B" w14:paraId="1F36ABCD" w14:textId="77777777" w:rsidTr="00DD5D4F">
        <w:trPr>
          <w:trHeight w:val="1977"/>
        </w:trPr>
        <w:tc>
          <w:tcPr>
            <w:tcW w:w="797" w:type="pct"/>
            <w:tcBorders>
              <w:top w:val="single" w:sz="4" w:space="0" w:color="auto"/>
              <w:bottom w:val="single" w:sz="4" w:space="0" w:color="auto"/>
            </w:tcBorders>
            <w:tcMar>
              <w:top w:w="57" w:type="dxa"/>
              <w:left w:w="57" w:type="dxa"/>
              <w:bottom w:w="57" w:type="dxa"/>
              <w:right w:w="57" w:type="dxa"/>
            </w:tcMar>
            <w:vAlign w:val="center"/>
          </w:tcPr>
          <w:p w14:paraId="3D890C01" w14:textId="77777777" w:rsidR="006D32A9" w:rsidRPr="0005267B" w:rsidRDefault="006D32A9" w:rsidP="00D87499">
            <w:pPr>
              <w:tabs>
                <w:tab w:val="num" w:pos="425"/>
              </w:tabs>
              <w:rPr>
                <w:bCs/>
                <w:noProof/>
                <w:sz w:val="16"/>
                <w:szCs w:val="16"/>
              </w:rPr>
            </w:pPr>
          </w:p>
          <w:p w14:paraId="4D9E5D07" w14:textId="77777777" w:rsidR="006D32A9" w:rsidRPr="0005267B" w:rsidRDefault="006D32A9" w:rsidP="00D87499">
            <w:pPr>
              <w:tabs>
                <w:tab w:val="num" w:pos="425"/>
              </w:tabs>
              <w:rPr>
                <w:bCs/>
                <w:noProof/>
              </w:rPr>
            </w:pPr>
          </w:p>
          <w:p w14:paraId="4F63A724" w14:textId="77777777" w:rsidR="006D32A9" w:rsidRPr="0005267B" w:rsidRDefault="006D32A9" w:rsidP="00D87499">
            <w:pPr>
              <w:tabs>
                <w:tab w:val="num" w:pos="425"/>
              </w:tabs>
              <w:rPr>
                <w:bCs/>
                <w:noProof/>
                <w:sz w:val="16"/>
                <w:szCs w:val="16"/>
              </w:rPr>
            </w:pPr>
            <w:r w:rsidRPr="00DF4375">
              <w:rPr>
                <w:bCs/>
                <w:noProof/>
              </w:rPr>
              <w:t xml:space="preserve">Enforcement costs: </w:t>
            </w:r>
            <w:r w:rsidRPr="0005267B">
              <w:rPr>
                <w:bCs/>
                <w:noProof/>
              </w:rPr>
              <w:t xml:space="preserve"> </w:t>
            </w:r>
            <w:r w:rsidRPr="0005267B">
              <w:rPr>
                <w:bCs/>
                <w:noProof/>
                <w:sz w:val="16"/>
                <w:szCs w:val="16"/>
              </w:rPr>
              <w:t>(costs associated with activities linked to the implementation of an initiative such as monitoring, inspections and adjudication/litigation)</w:t>
            </w:r>
          </w:p>
          <w:p w14:paraId="3D0FE280" w14:textId="77777777" w:rsidR="006D32A9" w:rsidRPr="0005267B" w:rsidRDefault="006D32A9" w:rsidP="00D87499">
            <w:pPr>
              <w:tabs>
                <w:tab w:val="num" w:pos="425"/>
              </w:tabs>
              <w:rPr>
                <w:bCs/>
                <w:noProof/>
                <w:sz w:val="16"/>
                <w:szCs w:val="16"/>
              </w:rPr>
            </w:pPr>
          </w:p>
          <w:p w14:paraId="25711AD9" w14:textId="77777777" w:rsidR="006D32A9" w:rsidRPr="0005267B" w:rsidRDefault="006D32A9" w:rsidP="00D87499">
            <w:pPr>
              <w:tabs>
                <w:tab w:val="num" w:pos="425"/>
              </w:tabs>
              <w:rPr>
                <w:bCs/>
                <w:noProof/>
                <w:sz w:val="16"/>
                <w:szCs w:val="16"/>
              </w:rPr>
            </w:pPr>
          </w:p>
          <w:p w14:paraId="7F1FC235" w14:textId="77777777" w:rsidR="006D32A9" w:rsidRPr="0005267B" w:rsidRDefault="006D32A9" w:rsidP="00D87499">
            <w:pPr>
              <w:tabs>
                <w:tab w:val="num" w:pos="425"/>
              </w:tabs>
              <w:rPr>
                <w:bCs/>
                <w:noProof/>
                <w:sz w:val="16"/>
                <w:szCs w:val="16"/>
              </w:rPr>
            </w:pPr>
          </w:p>
          <w:p w14:paraId="006A611F" w14:textId="77777777" w:rsidR="006D32A9" w:rsidRPr="0005267B" w:rsidRDefault="006D32A9" w:rsidP="00D87499">
            <w:pPr>
              <w:tabs>
                <w:tab w:val="num" w:pos="425"/>
              </w:tabs>
              <w:rPr>
                <w:bCs/>
                <w:noProof/>
                <w:sz w:val="16"/>
                <w:szCs w:val="16"/>
              </w:rPr>
            </w:pPr>
          </w:p>
          <w:p w14:paraId="0C1C8B1A" w14:textId="77777777" w:rsidR="006D32A9" w:rsidRPr="0005267B" w:rsidRDefault="006D32A9" w:rsidP="00D87499">
            <w:pPr>
              <w:tabs>
                <w:tab w:val="num" w:pos="425"/>
              </w:tabs>
              <w:rPr>
                <w:bCs/>
                <w:noProof/>
                <w:sz w:val="16"/>
                <w:szCs w:val="16"/>
              </w:rPr>
            </w:pPr>
          </w:p>
          <w:p w14:paraId="3E1117B3" w14:textId="77777777" w:rsidR="006D32A9" w:rsidRPr="009A39FA" w:rsidRDefault="006D32A9" w:rsidP="00D87499">
            <w:pPr>
              <w:tabs>
                <w:tab w:val="num" w:pos="425"/>
              </w:tabs>
              <w:rPr>
                <w:noProof/>
              </w:rPr>
            </w:pPr>
            <w:r w:rsidRPr="009A39FA">
              <w:rPr>
                <w:noProof/>
              </w:rPr>
              <w:t xml:space="preserve">Indirect costs </w:t>
            </w:r>
            <w:r w:rsidRPr="009A39FA">
              <w:rPr>
                <w:noProof/>
                <w:sz w:val="16"/>
                <w:szCs w:val="16"/>
              </w:rPr>
              <w:t>(indirect compliance costs or other indirect costs such as transaction costs)</w:t>
            </w:r>
          </w:p>
          <w:p w14:paraId="30C6F64C" w14:textId="77777777" w:rsidR="006D32A9" w:rsidRPr="009A39FA" w:rsidRDefault="006D32A9" w:rsidP="00D87499">
            <w:pPr>
              <w:tabs>
                <w:tab w:val="num" w:pos="425"/>
              </w:tabs>
              <w:rPr>
                <w:i/>
                <w:noProof/>
              </w:rPr>
            </w:pPr>
          </w:p>
          <w:p w14:paraId="5BE38FAF" w14:textId="77777777" w:rsidR="006D32A9" w:rsidRPr="00DF4375" w:rsidRDefault="006D32A9" w:rsidP="00D87499">
            <w:pPr>
              <w:tabs>
                <w:tab w:val="num" w:pos="425"/>
              </w:tabs>
              <w:rPr>
                <w:bCs/>
                <w:noProof/>
              </w:rPr>
            </w:pPr>
            <w:r w:rsidRPr="0005267B">
              <w:rPr>
                <w:bCs/>
                <w:noProof/>
                <w:sz w:val="16"/>
                <w:szCs w:val="16"/>
              </w:rPr>
              <w:t xml:space="preserve"> </w:t>
            </w:r>
          </w:p>
        </w:tc>
        <w:tc>
          <w:tcPr>
            <w:tcW w:w="195" w:type="pct"/>
            <w:tcBorders>
              <w:top w:val="single" w:sz="4" w:space="0" w:color="auto"/>
              <w:bottom w:val="single" w:sz="4" w:space="0" w:color="auto"/>
              <w:right w:val="double" w:sz="4" w:space="0" w:color="auto"/>
            </w:tcBorders>
            <w:tcMar>
              <w:top w:w="57" w:type="dxa"/>
              <w:left w:w="57" w:type="dxa"/>
              <w:bottom w:w="57" w:type="dxa"/>
              <w:right w:w="57" w:type="dxa"/>
            </w:tcMar>
            <w:vAlign w:val="center"/>
          </w:tcPr>
          <w:p w14:paraId="440C10C1" w14:textId="77777777" w:rsidR="006D32A9" w:rsidRPr="00DF4375" w:rsidDel="009607B4" w:rsidRDefault="006D32A9" w:rsidP="00D87499">
            <w:pPr>
              <w:tabs>
                <w:tab w:val="num" w:pos="425"/>
              </w:tabs>
              <w:rPr>
                <w:bCs/>
                <w:noProof/>
              </w:rPr>
            </w:pPr>
          </w:p>
        </w:tc>
        <w:tc>
          <w:tcPr>
            <w:tcW w:w="779" w:type="pct"/>
            <w:tcBorders>
              <w:top w:val="single" w:sz="4" w:space="0" w:color="auto"/>
              <w:left w:val="double" w:sz="4" w:space="0" w:color="auto"/>
              <w:bottom w:val="single" w:sz="4" w:space="0" w:color="auto"/>
            </w:tcBorders>
            <w:tcMar>
              <w:top w:w="57" w:type="dxa"/>
              <w:left w:w="57" w:type="dxa"/>
              <w:bottom w:w="57" w:type="dxa"/>
              <w:right w:w="57" w:type="dxa"/>
            </w:tcMar>
          </w:tcPr>
          <w:p w14:paraId="1DEB9056" w14:textId="77777777" w:rsidR="006D32A9" w:rsidRPr="00D87499" w:rsidRDefault="006D32A9" w:rsidP="008A47B8">
            <w:pPr>
              <w:tabs>
                <w:tab w:val="num" w:pos="425"/>
              </w:tabs>
              <w:jc w:val="center"/>
              <w:rPr>
                <w:bCs/>
                <w:noProof/>
              </w:rPr>
            </w:pPr>
            <w:r w:rsidRPr="00D87499">
              <w:rPr>
                <w:bCs/>
                <w:noProof/>
              </w:rPr>
              <w:t>N/A</w:t>
            </w:r>
          </w:p>
        </w:tc>
        <w:tc>
          <w:tcPr>
            <w:tcW w:w="615" w:type="pct"/>
            <w:tcBorders>
              <w:top w:val="single" w:sz="4" w:space="0" w:color="auto"/>
              <w:bottom w:val="single" w:sz="4" w:space="0" w:color="auto"/>
            </w:tcBorders>
            <w:tcMar>
              <w:top w:w="57" w:type="dxa"/>
              <w:left w:w="57" w:type="dxa"/>
              <w:bottom w:w="57" w:type="dxa"/>
              <w:right w:w="57" w:type="dxa"/>
            </w:tcMar>
          </w:tcPr>
          <w:p w14:paraId="710CED02" w14:textId="77777777" w:rsidR="006D32A9" w:rsidRPr="00D87499" w:rsidRDefault="006D32A9" w:rsidP="008A47B8">
            <w:pPr>
              <w:tabs>
                <w:tab w:val="num" w:pos="425"/>
              </w:tabs>
              <w:jc w:val="center"/>
              <w:rPr>
                <w:bCs/>
                <w:noProof/>
              </w:rPr>
            </w:pPr>
            <w:r w:rsidRPr="00D87499">
              <w:rPr>
                <w:bCs/>
                <w:noProof/>
              </w:rPr>
              <w:t>N/A</w:t>
            </w:r>
          </w:p>
        </w:tc>
        <w:tc>
          <w:tcPr>
            <w:tcW w:w="557" w:type="pct"/>
            <w:tcBorders>
              <w:top w:val="single" w:sz="4" w:space="0" w:color="auto"/>
              <w:bottom w:val="single" w:sz="4" w:space="0" w:color="auto"/>
            </w:tcBorders>
            <w:tcMar>
              <w:top w:w="57" w:type="dxa"/>
              <w:left w:w="57" w:type="dxa"/>
              <w:bottom w:w="57" w:type="dxa"/>
              <w:right w:w="57" w:type="dxa"/>
            </w:tcMar>
          </w:tcPr>
          <w:p w14:paraId="17ED67A8" w14:textId="77777777" w:rsidR="006D32A9" w:rsidRPr="00D87499" w:rsidRDefault="006D32A9" w:rsidP="008A47B8">
            <w:pPr>
              <w:tabs>
                <w:tab w:val="num" w:pos="425"/>
              </w:tabs>
              <w:jc w:val="center"/>
              <w:rPr>
                <w:bCs/>
                <w:noProof/>
              </w:rPr>
            </w:pPr>
            <w:r w:rsidRPr="00D87499">
              <w:rPr>
                <w:bCs/>
                <w:noProof/>
              </w:rPr>
              <w:t>N/A</w:t>
            </w:r>
          </w:p>
        </w:tc>
        <w:tc>
          <w:tcPr>
            <w:tcW w:w="456" w:type="pct"/>
            <w:tcBorders>
              <w:top w:val="single" w:sz="4" w:space="0" w:color="auto"/>
              <w:bottom w:val="single" w:sz="4" w:space="0" w:color="auto"/>
            </w:tcBorders>
            <w:tcMar>
              <w:top w:w="57" w:type="dxa"/>
              <w:left w:w="57" w:type="dxa"/>
              <w:bottom w:w="57" w:type="dxa"/>
              <w:right w:w="57" w:type="dxa"/>
            </w:tcMar>
          </w:tcPr>
          <w:p w14:paraId="09AE4A50" w14:textId="77777777" w:rsidR="006D32A9" w:rsidRPr="00D87499" w:rsidRDefault="006D32A9" w:rsidP="008A47B8">
            <w:pPr>
              <w:tabs>
                <w:tab w:val="num" w:pos="425"/>
              </w:tabs>
              <w:jc w:val="center"/>
              <w:rPr>
                <w:bCs/>
                <w:noProof/>
              </w:rPr>
            </w:pPr>
            <w:r w:rsidRPr="00D87499">
              <w:rPr>
                <w:bCs/>
                <w:noProof/>
              </w:rPr>
              <w:t>N/A</w:t>
            </w:r>
          </w:p>
        </w:tc>
        <w:tc>
          <w:tcPr>
            <w:tcW w:w="598" w:type="pct"/>
            <w:tcBorders>
              <w:top w:val="single" w:sz="4" w:space="0" w:color="auto"/>
              <w:bottom w:val="single" w:sz="4" w:space="0" w:color="auto"/>
            </w:tcBorders>
            <w:tcMar>
              <w:top w:w="57" w:type="dxa"/>
              <w:left w:w="57" w:type="dxa"/>
              <w:bottom w:w="57" w:type="dxa"/>
              <w:right w:w="57" w:type="dxa"/>
            </w:tcMar>
          </w:tcPr>
          <w:p w14:paraId="7E658DF7" w14:textId="77777777" w:rsidR="006D32A9" w:rsidRPr="00D87499" w:rsidRDefault="006D32A9" w:rsidP="008A47B8">
            <w:pPr>
              <w:tabs>
                <w:tab w:val="num" w:pos="425"/>
              </w:tabs>
              <w:jc w:val="center"/>
              <w:rPr>
                <w:bCs/>
                <w:noProof/>
              </w:rPr>
            </w:pPr>
            <w:r w:rsidRPr="00D87499">
              <w:rPr>
                <w:bCs/>
                <w:noProof/>
              </w:rPr>
              <w:t>N/A</w:t>
            </w:r>
          </w:p>
        </w:tc>
        <w:tc>
          <w:tcPr>
            <w:tcW w:w="1001" w:type="pct"/>
            <w:tcBorders>
              <w:top w:val="single" w:sz="4" w:space="0" w:color="auto"/>
              <w:bottom w:val="single" w:sz="4" w:space="0" w:color="auto"/>
            </w:tcBorders>
            <w:tcMar>
              <w:top w:w="57" w:type="dxa"/>
              <w:left w:w="57" w:type="dxa"/>
              <w:bottom w:w="57" w:type="dxa"/>
              <w:right w:w="57" w:type="dxa"/>
            </w:tcMar>
          </w:tcPr>
          <w:p w14:paraId="190431B2" w14:textId="77777777" w:rsidR="006D32A9" w:rsidRPr="00D87499" w:rsidRDefault="006D32A9" w:rsidP="00D87499">
            <w:pPr>
              <w:spacing w:line="280" w:lineRule="atLeast"/>
              <w:rPr>
                <w:bCs/>
                <w:noProof/>
              </w:rPr>
            </w:pPr>
            <w:r w:rsidRPr="00D87499">
              <w:rPr>
                <w:bCs/>
                <w:noProof/>
              </w:rPr>
              <w:t>Costs related to acquiring / developing specific expertise reported by a small number of administrations / authorities (e.g., costs for FTEs, in order to cover specific areas of expertise in combatting money laundering (e.g., virtual currencies)).</w:t>
            </w:r>
          </w:p>
          <w:p w14:paraId="50F341F8" w14:textId="77777777" w:rsidR="006D32A9" w:rsidRPr="00D87499" w:rsidRDefault="006D32A9" w:rsidP="00D87499">
            <w:pPr>
              <w:tabs>
                <w:tab w:val="num" w:pos="425"/>
              </w:tabs>
              <w:rPr>
                <w:bCs/>
                <w:noProof/>
              </w:rPr>
            </w:pPr>
            <w:r w:rsidRPr="00D87499">
              <w:rPr>
                <w:bCs/>
                <w:noProof/>
              </w:rPr>
              <w:t>Costs associated with heavier workload reported by a small number of administrations / authorities, although it is unclear whether this can be attributed to the Directive or also accounts for other usual activity of the stakeholder</w:t>
            </w:r>
          </w:p>
        </w:tc>
      </w:tr>
      <w:tr w:rsidR="00DD5D4F" w:rsidRPr="0005267B" w14:paraId="10939705" w14:textId="77777777" w:rsidTr="00DD5D4F">
        <w:trPr>
          <w:trHeight w:val="1628"/>
        </w:trPr>
        <w:tc>
          <w:tcPr>
            <w:tcW w:w="797" w:type="pct"/>
            <w:tcBorders>
              <w:top w:val="single" w:sz="4" w:space="0" w:color="auto"/>
              <w:bottom w:val="single" w:sz="4" w:space="0" w:color="auto"/>
            </w:tcBorders>
            <w:tcMar>
              <w:top w:w="57" w:type="dxa"/>
              <w:left w:w="57" w:type="dxa"/>
              <w:bottom w:w="57" w:type="dxa"/>
              <w:right w:w="57" w:type="dxa"/>
            </w:tcMar>
            <w:vAlign w:val="center"/>
          </w:tcPr>
          <w:p w14:paraId="0F698FBF" w14:textId="77777777" w:rsidR="006D32A9" w:rsidRPr="00D87499" w:rsidRDefault="006D32A9" w:rsidP="00D87499">
            <w:pPr>
              <w:tabs>
                <w:tab w:val="num" w:pos="425"/>
              </w:tabs>
              <w:jc w:val="center"/>
              <w:rPr>
                <w:bCs/>
                <w:noProof/>
              </w:rPr>
            </w:pPr>
            <w:r w:rsidRPr="00D87499">
              <w:rPr>
                <w:bCs/>
                <w:noProof/>
              </w:rPr>
              <w:t>Benefits:</w:t>
            </w:r>
          </w:p>
          <w:p w14:paraId="5FBC55AC" w14:textId="77777777" w:rsidR="006D32A9" w:rsidRPr="00D87499" w:rsidRDefault="006D32A9" w:rsidP="00D87499">
            <w:pPr>
              <w:tabs>
                <w:tab w:val="num" w:pos="425"/>
              </w:tabs>
              <w:rPr>
                <w:bCs/>
                <w:noProof/>
                <w:sz w:val="16"/>
                <w:szCs w:val="16"/>
              </w:rPr>
            </w:pPr>
            <w:r w:rsidRPr="00D87499">
              <w:rPr>
                <w:bCs/>
                <w:noProof/>
              </w:rPr>
              <w:t xml:space="preserve">Direct benefits </w:t>
            </w:r>
            <w:r w:rsidRPr="00D87499">
              <w:rPr>
                <w:bCs/>
                <w:noProof/>
                <w:sz w:val="16"/>
                <w:szCs w:val="16"/>
              </w:rPr>
              <w:t>(such as improved wellbeing: changes  in pollution levels, safety, health, employment; market efficiency)</w:t>
            </w:r>
          </w:p>
          <w:p w14:paraId="572F85AB" w14:textId="77777777" w:rsidR="006D32A9" w:rsidRPr="00D87499" w:rsidRDefault="006D32A9" w:rsidP="00D87499">
            <w:pPr>
              <w:tabs>
                <w:tab w:val="num" w:pos="425"/>
              </w:tabs>
              <w:rPr>
                <w:bCs/>
                <w:noProof/>
                <w:sz w:val="16"/>
                <w:szCs w:val="16"/>
              </w:rPr>
            </w:pPr>
          </w:p>
          <w:p w14:paraId="5527D753" w14:textId="77777777" w:rsidR="006D32A9" w:rsidRPr="00D87499" w:rsidRDefault="006D32A9" w:rsidP="00D87499">
            <w:pPr>
              <w:tabs>
                <w:tab w:val="num" w:pos="425"/>
              </w:tabs>
              <w:rPr>
                <w:bCs/>
                <w:noProof/>
                <w:sz w:val="16"/>
                <w:szCs w:val="16"/>
              </w:rPr>
            </w:pPr>
          </w:p>
          <w:p w14:paraId="747C5BB3" w14:textId="77777777" w:rsidR="006D32A9" w:rsidRPr="00D87499" w:rsidRDefault="006D32A9" w:rsidP="00D87499">
            <w:pPr>
              <w:tabs>
                <w:tab w:val="num" w:pos="425"/>
              </w:tabs>
              <w:rPr>
                <w:bCs/>
                <w:noProof/>
                <w:sz w:val="16"/>
                <w:szCs w:val="16"/>
              </w:rPr>
            </w:pPr>
          </w:p>
          <w:p w14:paraId="61D6C5FB" w14:textId="77777777" w:rsidR="006D32A9" w:rsidRPr="00D87499" w:rsidRDefault="006D32A9" w:rsidP="00D87499">
            <w:pPr>
              <w:tabs>
                <w:tab w:val="num" w:pos="425"/>
              </w:tabs>
              <w:rPr>
                <w:bCs/>
                <w:noProof/>
              </w:rPr>
            </w:pPr>
          </w:p>
          <w:p w14:paraId="07761404" w14:textId="77777777" w:rsidR="006D32A9" w:rsidRPr="00D87499" w:rsidRDefault="006D32A9" w:rsidP="00D87499">
            <w:pPr>
              <w:tabs>
                <w:tab w:val="num" w:pos="425"/>
              </w:tabs>
              <w:rPr>
                <w:bCs/>
                <w:noProof/>
                <w:sz w:val="16"/>
                <w:szCs w:val="16"/>
              </w:rPr>
            </w:pPr>
          </w:p>
        </w:tc>
        <w:tc>
          <w:tcPr>
            <w:tcW w:w="195" w:type="pct"/>
            <w:tcBorders>
              <w:top w:val="single" w:sz="4" w:space="0" w:color="auto"/>
              <w:bottom w:val="single" w:sz="4" w:space="0" w:color="auto"/>
              <w:right w:val="double" w:sz="4" w:space="0" w:color="auto"/>
            </w:tcBorders>
            <w:tcMar>
              <w:top w:w="57" w:type="dxa"/>
              <w:left w:w="57" w:type="dxa"/>
              <w:bottom w:w="57" w:type="dxa"/>
              <w:right w:w="57" w:type="dxa"/>
            </w:tcMar>
          </w:tcPr>
          <w:p w14:paraId="57EA8B29" w14:textId="77777777" w:rsidR="006D32A9" w:rsidRPr="00D87499" w:rsidDel="009607B4" w:rsidRDefault="006D32A9" w:rsidP="00D87499">
            <w:pPr>
              <w:tabs>
                <w:tab w:val="num" w:pos="425"/>
              </w:tabs>
              <w:rPr>
                <w:bCs/>
                <w:noProof/>
              </w:rPr>
            </w:pPr>
            <w:r w:rsidRPr="00D87499">
              <w:rPr>
                <w:bCs/>
                <w:noProof/>
              </w:rPr>
              <w:t>N/A</w:t>
            </w:r>
          </w:p>
        </w:tc>
        <w:tc>
          <w:tcPr>
            <w:tcW w:w="779" w:type="pct"/>
            <w:tcBorders>
              <w:top w:val="single" w:sz="4" w:space="0" w:color="auto"/>
              <w:left w:val="double" w:sz="4" w:space="0" w:color="auto"/>
              <w:bottom w:val="single" w:sz="4" w:space="0" w:color="auto"/>
            </w:tcBorders>
            <w:tcMar>
              <w:top w:w="57" w:type="dxa"/>
              <w:left w:w="57" w:type="dxa"/>
              <w:bottom w:w="57" w:type="dxa"/>
              <w:right w:w="57" w:type="dxa"/>
            </w:tcMar>
          </w:tcPr>
          <w:p w14:paraId="5BE97617" w14:textId="77777777" w:rsidR="006D32A9" w:rsidRPr="00D87499" w:rsidRDefault="006D32A9" w:rsidP="00FD2E77">
            <w:pPr>
              <w:tabs>
                <w:tab w:val="num" w:pos="425"/>
              </w:tabs>
              <w:jc w:val="center"/>
              <w:rPr>
                <w:bCs/>
                <w:noProof/>
              </w:rPr>
            </w:pPr>
            <w:r w:rsidRPr="00D87499">
              <w:rPr>
                <w:bCs/>
                <w:noProof/>
              </w:rPr>
              <w:t>N/A</w:t>
            </w:r>
          </w:p>
        </w:tc>
        <w:tc>
          <w:tcPr>
            <w:tcW w:w="615" w:type="pct"/>
            <w:tcBorders>
              <w:top w:val="single" w:sz="4" w:space="0" w:color="auto"/>
              <w:bottom w:val="single" w:sz="4" w:space="0" w:color="auto"/>
            </w:tcBorders>
            <w:tcMar>
              <w:top w:w="57" w:type="dxa"/>
              <w:left w:w="57" w:type="dxa"/>
              <w:bottom w:w="57" w:type="dxa"/>
              <w:right w:w="57" w:type="dxa"/>
            </w:tcMar>
          </w:tcPr>
          <w:p w14:paraId="26643429" w14:textId="77777777" w:rsidR="006D32A9" w:rsidRPr="00D87499" w:rsidRDefault="006D32A9" w:rsidP="00D87499">
            <w:pPr>
              <w:tabs>
                <w:tab w:val="num" w:pos="425"/>
              </w:tabs>
              <w:rPr>
                <w:bCs/>
                <w:noProof/>
              </w:rPr>
            </w:pPr>
            <w:r w:rsidRPr="00D87499">
              <w:rPr>
                <w:noProof/>
              </w:rPr>
              <w:t>Harmonising money laundering offences and penalties across Member States</w:t>
            </w:r>
          </w:p>
        </w:tc>
        <w:tc>
          <w:tcPr>
            <w:tcW w:w="557" w:type="pct"/>
            <w:tcBorders>
              <w:top w:val="single" w:sz="4" w:space="0" w:color="auto"/>
              <w:bottom w:val="single" w:sz="4" w:space="0" w:color="auto"/>
            </w:tcBorders>
            <w:tcMar>
              <w:top w:w="57" w:type="dxa"/>
              <w:left w:w="57" w:type="dxa"/>
              <w:bottom w:w="57" w:type="dxa"/>
              <w:right w:w="57" w:type="dxa"/>
            </w:tcMar>
          </w:tcPr>
          <w:p w14:paraId="6D31E0A2" w14:textId="77777777" w:rsidR="006D32A9" w:rsidRPr="00D87499" w:rsidRDefault="006D32A9" w:rsidP="00FD2E77">
            <w:pPr>
              <w:tabs>
                <w:tab w:val="num" w:pos="425"/>
              </w:tabs>
              <w:jc w:val="center"/>
              <w:rPr>
                <w:bCs/>
                <w:noProof/>
              </w:rPr>
            </w:pPr>
            <w:r w:rsidRPr="00D87499">
              <w:rPr>
                <w:bCs/>
                <w:noProof/>
              </w:rPr>
              <w:t>N/A</w:t>
            </w:r>
          </w:p>
        </w:tc>
        <w:tc>
          <w:tcPr>
            <w:tcW w:w="456" w:type="pct"/>
            <w:tcBorders>
              <w:top w:val="single" w:sz="4" w:space="0" w:color="auto"/>
              <w:bottom w:val="single" w:sz="4" w:space="0" w:color="auto"/>
            </w:tcBorders>
            <w:tcMar>
              <w:top w:w="57" w:type="dxa"/>
              <w:left w:w="57" w:type="dxa"/>
              <w:bottom w:w="57" w:type="dxa"/>
              <w:right w:w="57" w:type="dxa"/>
            </w:tcMar>
          </w:tcPr>
          <w:p w14:paraId="2D839B97" w14:textId="77777777" w:rsidR="006D32A9" w:rsidRPr="00D87499" w:rsidRDefault="006D32A9" w:rsidP="00FD2E77">
            <w:pPr>
              <w:tabs>
                <w:tab w:val="num" w:pos="425"/>
              </w:tabs>
              <w:jc w:val="center"/>
              <w:rPr>
                <w:bCs/>
                <w:noProof/>
              </w:rPr>
            </w:pPr>
            <w:r w:rsidRPr="00D87499">
              <w:rPr>
                <w:bCs/>
                <w:noProof/>
              </w:rPr>
              <w:t>N/A</w:t>
            </w:r>
          </w:p>
        </w:tc>
        <w:tc>
          <w:tcPr>
            <w:tcW w:w="598" w:type="pct"/>
            <w:tcBorders>
              <w:top w:val="single" w:sz="4" w:space="0" w:color="auto"/>
              <w:bottom w:val="single" w:sz="4" w:space="0" w:color="auto"/>
            </w:tcBorders>
            <w:tcMar>
              <w:top w:w="57" w:type="dxa"/>
              <w:left w:w="57" w:type="dxa"/>
              <w:bottom w:w="57" w:type="dxa"/>
              <w:right w:w="57" w:type="dxa"/>
            </w:tcMar>
          </w:tcPr>
          <w:p w14:paraId="2CF4C9B2" w14:textId="77777777" w:rsidR="006D32A9" w:rsidRPr="00D87499" w:rsidRDefault="006D32A9" w:rsidP="00FD2E77">
            <w:pPr>
              <w:tabs>
                <w:tab w:val="num" w:pos="425"/>
              </w:tabs>
              <w:jc w:val="center"/>
              <w:rPr>
                <w:bCs/>
                <w:noProof/>
              </w:rPr>
            </w:pPr>
            <w:r w:rsidRPr="00D87499">
              <w:rPr>
                <w:bCs/>
                <w:noProof/>
              </w:rPr>
              <w:t>N/A</w:t>
            </w:r>
          </w:p>
        </w:tc>
        <w:tc>
          <w:tcPr>
            <w:tcW w:w="1001" w:type="pct"/>
            <w:tcBorders>
              <w:top w:val="single" w:sz="4" w:space="0" w:color="auto"/>
              <w:bottom w:val="single" w:sz="4" w:space="0" w:color="auto"/>
            </w:tcBorders>
            <w:tcMar>
              <w:top w:w="57" w:type="dxa"/>
              <w:left w:w="57" w:type="dxa"/>
              <w:bottom w:w="57" w:type="dxa"/>
              <w:right w:w="57" w:type="dxa"/>
            </w:tcMar>
          </w:tcPr>
          <w:p w14:paraId="45EA8356" w14:textId="77777777" w:rsidR="006D32A9" w:rsidRPr="00D87499" w:rsidRDefault="006D32A9" w:rsidP="00D87499">
            <w:pPr>
              <w:spacing w:line="280" w:lineRule="atLeast"/>
              <w:rPr>
                <w:bCs/>
                <w:noProof/>
              </w:rPr>
            </w:pPr>
            <w:r w:rsidRPr="00D87499">
              <w:rPr>
                <w:bCs/>
                <w:noProof/>
              </w:rPr>
              <w:t xml:space="preserve">Legal clarity and effectiveness stemming from harmonisation of definitions </w:t>
            </w:r>
          </w:p>
          <w:p w14:paraId="50BD53A2" w14:textId="77777777" w:rsidR="006D32A9" w:rsidRPr="00D87499" w:rsidRDefault="006D32A9" w:rsidP="00D87499">
            <w:pPr>
              <w:spacing w:line="280" w:lineRule="atLeast"/>
              <w:rPr>
                <w:bCs/>
                <w:noProof/>
              </w:rPr>
            </w:pPr>
          </w:p>
          <w:p w14:paraId="0A3E3C15" w14:textId="77777777" w:rsidR="006D32A9" w:rsidRPr="00D87499" w:rsidRDefault="006D32A9" w:rsidP="00D87499">
            <w:pPr>
              <w:tabs>
                <w:tab w:val="num" w:pos="425"/>
              </w:tabs>
              <w:rPr>
                <w:bCs/>
                <w:noProof/>
              </w:rPr>
            </w:pPr>
            <w:r w:rsidRPr="00D87499">
              <w:rPr>
                <w:bCs/>
                <w:noProof/>
              </w:rPr>
              <w:t>Enhanced investigative capabilities for law enforcement</w:t>
            </w:r>
          </w:p>
        </w:tc>
      </w:tr>
      <w:tr w:rsidR="00DD5D4F" w:rsidRPr="0005267B" w14:paraId="2D91B68F" w14:textId="77777777" w:rsidTr="00DD5D4F">
        <w:trPr>
          <w:trHeight w:val="1472"/>
        </w:trPr>
        <w:tc>
          <w:tcPr>
            <w:tcW w:w="797" w:type="pct"/>
            <w:tcBorders>
              <w:top w:val="single" w:sz="4" w:space="0" w:color="auto"/>
            </w:tcBorders>
            <w:tcMar>
              <w:top w:w="57" w:type="dxa"/>
              <w:left w:w="57" w:type="dxa"/>
              <w:bottom w:w="57" w:type="dxa"/>
              <w:right w:w="57" w:type="dxa"/>
            </w:tcMar>
            <w:vAlign w:val="center"/>
          </w:tcPr>
          <w:p w14:paraId="091566CC" w14:textId="77777777" w:rsidR="006D32A9" w:rsidRPr="00D87499" w:rsidRDefault="006D32A9" w:rsidP="00D87499">
            <w:pPr>
              <w:tabs>
                <w:tab w:val="num" w:pos="425"/>
              </w:tabs>
              <w:rPr>
                <w:bCs/>
                <w:noProof/>
              </w:rPr>
            </w:pPr>
            <w:r w:rsidRPr="00D87499">
              <w:rPr>
                <w:bCs/>
                <w:noProof/>
              </w:rPr>
              <w:t xml:space="preserve">Indirect benefits </w:t>
            </w:r>
            <w:r w:rsidRPr="00D87499">
              <w:rPr>
                <w:bCs/>
                <w:noProof/>
                <w:sz w:val="16"/>
                <w:szCs w:val="16"/>
              </w:rPr>
              <w:t>(such as wider economic benefits, macroeconomic benefits, social impacts, environmental impacts)</w:t>
            </w:r>
          </w:p>
        </w:tc>
        <w:tc>
          <w:tcPr>
            <w:tcW w:w="195" w:type="pct"/>
            <w:tcBorders>
              <w:top w:val="single" w:sz="4" w:space="0" w:color="auto"/>
              <w:right w:val="double" w:sz="4" w:space="0" w:color="auto"/>
            </w:tcBorders>
            <w:tcMar>
              <w:top w:w="57" w:type="dxa"/>
              <w:left w:w="57" w:type="dxa"/>
              <w:bottom w:w="57" w:type="dxa"/>
              <w:right w:w="57" w:type="dxa"/>
            </w:tcMar>
          </w:tcPr>
          <w:p w14:paraId="15155AA2" w14:textId="77777777" w:rsidR="006D32A9" w:rsidRPr="00D87499" w:rsidRDefault="006D32A9" w:rsidP="00D87499">
            <w:pPr>
              <w:tabs>
                <w:tab w:val="num" w:pos="425"/>
              </w:tabs>
              <w:rPr>
                <w:bCs/>
                <w:noProof/>
              </w:rPr>
            </w:pPr>
            <w:r w:rsidRPr="00D87499">
              <w:rPr>
                <w:bCs/>
                <w:noProof/>
              </w:rPr>
              <w:t>N/A</w:t>
            </w:r>
          </w:p>
        </w:tc>
        <w:tc>
          <w:tcPr>
            <w:tcW w:w="779" w:type="pct"/>
            <w:tcBorders>
              <w:top w:val="single" w:sz="4" w:space="0" w:color="auto"/>
              <w:left w:val="double" w:sz="4" w:space="0" w:color="auto"/>
            </w:tcBorders>
            <w:tcMar>
              <w:top w:w="57" w:type="dxa"/>
              <w:left w:w="57" w:type="dxa"/>
              <w:bottom w:w="57" w:type="dxa"/>
              <w:right w:w="57" w:type="dxa"/>
            </w:tcMar>
          </w:tcPr>
          <w:p w14:paraId="6F42A701" w14:textId="77777777" w:rsidR="006D32A9" w:rsidRPr="00D87499" w:rsidRDefault="006D32A9" w:rsidP="00FD2E77">
            <w:pPr>
              <w:tabs>
                <w:tab w:val="num" w:pos="425"/>
              </w:tabs>
              <w:jc w:val="center"/>
              <w:rPr>
                <w:bCs/>
                <w:noProof/>
              </w:rPr>
            </w:pPr>
            <w:r w:rsidRPr="00D87499">
              <w:rPr>
                <w:bCs/>
                <w:noProof/>
              </w:rPr>
              <w:t>N/A</w:t>
            </w:r>
          </w:p>
        </w:tc>
        <w:tc>
          <w:tcPr>
            <w:tcW w:w="615" w:type="pct"/>
            <w:tcBorders>
              <w:top w:val="single" w:sz="4" w:space="0" w:color="auto"/>
            </w:tcBorders>
            <w:tcMar>
              <w:top w:w="57" w:type="dxa"/>
              <w:left w:w="57" w:type="dxa"/>
              <w:bottom w:w="57" w:type="dxa"/>
              <w:right w:w="57" w:type="dxa"/>
            </w:tcMar>
          </w:tcPr>
          <w:p w14:paraId="6B0DCD5E" w14:textId="77777777" w:rsidR="006D32A9" w:rsidRPr="00D87499" w:rsidRDefault="006D32A9" w:rsidP="00D87499">
            <w:pPr>
              <w:tabs>
                <w:tab w:val="num" w:pos="425"/>
              </w:tabs>
              <w:rPr>
                <w:bCs/>
                <w:noProof/>
              </w:rPr>
            </w:pPr>
            <w:r w:rsidRPr="00D87499">
              <w:rPr>
                <w:bCs/>
                <w:noProof/>
              </w:rPr>
              <w:t>None reported</w:t>
            </w:r>
          </w:p>
        </w:tc>
        <w:tc>
          <w:tcPr>
            <w:tcW w:w="557" w:type="pct"/>
            <w:tcBorders>
              <w:top w:val="single" w:sz="4" w:space="0" w:color="auto"/>
            </w:tcBorders>
            <w:tcMar>
              <w:top w:w="57" w:type="dxa"/>
              <w:left w:w="57" w:type="dxa"/>
              <w:bottom w:w="57" w:type="dxa"/>
              <w:right w:w="57" w:type="dxa"/>
            </w:tcMar>
          </w:tcPr>
          <w:p w14:paraId="0B8C80AB" w14:textId="77777777" w:rsidR="006D32A9" w:rsidRPr="00D87499" w:rsidRDefault="006D32A9" w:rsidP="00FD2E77">
            <w:pPr>
              <w:tabs>
                <w:tab w:val="num" w:pos="425"/>
              </w:tabs>
              <w:jc w:val="center"/>
              <w:rPr>
                <w:bCs/>
                <w:noProof/>
              </w:rPr>
            </w:pPr>
            <w:r w:rsidRPr="00D87499">
              <w:rPr>
                <w:bCs/>
                <w:noProof/>
              </w:rPr>
              <w:t>N/A</w:t>
            </w:r>
          </w:p>
        </w:tc>
        <w:tc>
          <w:tcPr>
            <w:tcW w:w="456" w:type="pct"/>
            <w:tcBorders>
              <w:top w:val="single" w:sz="4" w:space="0" w:color="auto"/>
            </w:tcBorders>
            <w:tcMar>
              <w:top w:w="57" w:type="dxa"/>
              <w:left w:w="57" w:type="dxa"/>
              <w:bottom w:w="57" w:type="dxa"/>
              <w:right w:w="57" w:type="dxa"/>
            </w:tcMar>
          </w:tcPr>
          <w:p w14:paraId="2830DACB" w14:textId="77777777" w:rsidR="006D32A9" w:rsidRPr="00D87499" w:rsidRDefault="006D32A9" w:rsidP="00FD2E77">
            <w:pPr>
              <w:tabs>
                <w:tab w:val="num" w:pos="425"/>
              </w:tabs>
              <w:jc w:val="center"/>
              <w:rPr>
                <w:bCs/>
                <w:noProof/>
              </w:rPr>
            </w:pPr>
            <w:r w:rsidRPr="00D87499">
              <w:rPr>
                <w:bCs/>
                <w:noProof/>
              </w:rPr>
              <w:t>N/A</w:t>
            </w:r>
          </w:p>
        </w:tc>
        <w:tc>
          <w:tcPr>
            <w:tcW w:w="598" w:type="pct"/>
            <w:tcBorders>
              <w:top w:val="single" w:sz="4" w:space="0" w:color="auto"/>
            </w:tcBorders>
            <w:tcMar>
              <w:top w:w="57" w:type="dxa"/>
              <w:left w:w="57" w:type="dxa"/>
              <w:bottom w:w="57" w:type="dxa"/>
              <w:right w:w="57" w:type="dxa"/>
            </w:tcMar>
          </w:tcPr>
          <w:p w14:paraId="754659D6" w14:textId="77777777" w:rsidR="006D32A9" w:rsidRPr="00D87499" w:rsidRDefault="006D32A9" w:rsidP="00FD2E77">
            <w:pPr>
              <w:tabs>
                <w:tab w:val="num" w:pos="425"/>
              </w:tabs>
              <w:jc w:val="center"/>
              <w:rPr>
                <w:bCs/>
                <w:noProof/>
              </w:rPr>
            </w:pPr>
            <w:r w:rsidRPr="00D87499">
              <w:rPr>
                <w:bCs/>
                <w:noProof/>
              </w:rPr>
              <w:t>N/A</w:t>
            </w:r>
          </w:p>
        </w:tc>
        <w:tc>
          <w:tcPr>
            <w:tcW w:w="1001" w:type="pct"/>
            <w:tcBorders>
              <w:top w:val="single" w:sz="4" w:space="0" w:color="auto"/>
            </w:tcBorders>
            <w:tcMar>
              <w:top w:w="57" w:type="dxa"/>
              <w:left w:w="57" w:type="dxa"/>
              <w:bottom w:w="57" w:type="dxa"/>
              <w:right w:w="57" w:type="dxa"/>
            </w:tcMar>
          </w:tcPr>
          <w:p w14:paraId="26F15A82" w14:textId="77777777" w:rsidR="006D32A9" w:rsidRPr="00D87499" w:rsidRDefault="006D32A9" w:rsidP="00D87499">
            <w:pPr>
              <w:spacing w:line="280" w:lineRule="atLeast"/>
              <w:rPr>
                <w:bCs/>
                <w:noProof/>
              </w:rPr>
            </w:pPr>
            <w:r w:rsidRPr="00D87499">
              <w:rPr>
                <w:bCs/>
                <w:noProof/>
              </w:rPr>
              <w:t xml:space="preserve">Enhanced deterrence </w:t>
            </w:r>
          </w:p>
          <w:p w14:paraId="1429F922" w14:textId="77777777" w:rsidR="006D32A9" w:rsidRPr="00D87499" w:rsidRDefault="006D32A9" w:rsidP="00D87499">
            <w:pPr>
              <w:spacing w:line="280" w:lineRule="atLeast"/>
              <w:rPr>
                <w:bCs/>
                <w:noProof/>
              </w:rPr>
            </w:pPr>
            <w:r w:rsidRPr="00D87499">
              <w:rPr>
                <w:bCs/>
                <w:noProof/>
              </w:rPr>
              <w:t>Improved cooperation</w:t>
            </w:r>
          </w:p>
          <w:p w14:paraId="294740E7" w14:textId="77777777" w:rsidR="006D32A9" w:rsidRPr="00D87499" w:rsidRDefault="006D32A9" w:rsidP="00D87499">
            <w:pPr>
              <w:tabs>
                <w:tab w:val="num" w:pos="425"/>
              </w:tabs>
              <w:rPr>
                <w:bCs/>
                <w:noProof/>
              </w:rPr>
            </w:pPr>
            <w:r w:rsidRPr="00D87499">
              <w:rPr>
                <w:bCs/>
                <w:noProof/>
              </w:rPr>
              <w:t>Confiscation of laundered goods adding to the state treasury</w:t>
            </w:r>
          </w:p>
        </w:tc>
      </w:tr>
    </w:tbl>
    <w:p w14:paraId="01AC3C62" w14:textId="594E41A3" w:rsidR="00161A26" w:rsidRPr="00575CC5" w:rsidRDefault="00161A26">
      <w:pPr>
        <w:rPr>
          <w:rFonts w:ascii="Times New Roman" w:hAnsi="Times New Roman" w:cs="Times New Roman"/>
          <w:i/>
          <w:noProof/>
          <w:sz w:val="24"/>
          <w:szCs w:val="24"/>
          <w:lang w:val="en-IE"/>
        </w:rPr>
      </w:pPr>
    </w:p>
    <w:p w14:paraId="39525BE7" w14:textId="20D8B46C" w:rsidR="00147D71" w:rsidRPr="00575CC5" w:rsidRDefault="00A01C22"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99" w:name="_Toc223439281"/>
      <w:r w:rsidRPr="00575CC5">
        <w:rPr>
          <w:noProof/>
          <w:szCs w:val="24"/>
        </w:rPr>
        <w:t xml:space="preserve">Annex V. Stakeholders </w:t>
      </w:r>
      <w:r w:rsidR="00147D71" w:rsidRPr="00575CC5">
        <w:rPr>
          <w:noProof/>
          <w:color w:val="000000" w:themeColor="text1"/>
          <w:szCs w:val="24"/>
        </w:rPr>
        <w:t xml:space="preserve">consultation </w:t>
      </w:r>
      <w:r w:rsidRPr="00575CC5">
        <w:rPr>
          <w:noProof/>
          <w:color w:val="000000" w:themeColor="text1"/>
          <w:szCs w:val="24"/>
        </w:rPr>
        <w:t>- S</w:t>
      </w:r>
      <w:r w:rsidR="00147D71" w:rsidRPr="00575CC5">
        <w:rPr>
          <w:noProof/>
          <w:color w:val="000000" w:themeColor="text1"/>
          <w:szCs w:val="24"/>
        </w:rPr>
        <w:t>ynopsis report</w:t>
      </w:r>
      <w:bookmarkEnd w:id="99"/>
      <w:r w:rsidR="00147D71" w:rsidRPr="00575CC5">
        <w:rPr>
          <w:noProof/>
          <w:color w:val="000000" w:themeColor="text1"/>
          <w:szCs w:val="24"/>
        </w:rPr>
        <w:t xml:space="preserve"> </w:t>
      </w:r>
    </w:p>
    <w:bookmarkEnd w:id="74"/>
    <w:p w14:paraId="0BEF5BA9" w14:textId="49CAB3A2" w:rsidR="00C87C82" w:rsidRPr="00575CC5" w:rsidRDefault="00C87C82" w:rsidP="00C87C82">
      <w:pPr>
        <w:jc w:val="both"/>
        <w:rPr>
          <w:rFonts w:ascii="Times New Roman" w:hAnsi="Times New Roman" w:cs="Times New Roman"/>
          <w:noProof/>
          <w:sz w:val="24"/>
          <w:szCs w:val="28"/>
          <w:lang w:val="en-IE"/>
        </w:rPr>
      </w:pPr>
      <w:r w:rsidRPr="00575CC5">
        <w:rPr>
          <w:rFonts w:ascii="Times New Roman" w:hAnsi="Times New Roman" w:cs="Times New Roman"/>
          <w:noProof/>
          <w:sz w:val="24"/>
          <w:szCs w:val="28"/>
        </w:rPr>
        <w:t xml:space="preserve">Continuous stakeholder engagement </w:t>
      </w:r>
      <w:r w:rsidR="00286EB5">
        <w:rPr>
          <w:rFonts w:ascii="Times New Roman" w:hAnsi="Times New Roman" w:cs="Times New Roman"/>
          <w:noProof/>
          <w:sz w:val="24"/>
          <w:szCs w:val="28"/>
        </w:rPr>
        <w:t>was</w:t>
      </w:r>
      <w:r w:rsidRPr="00575CC5">
        <w:rPr>
          <w:rFonts w:ascii="Times New Roman" w:hAnsi="Times New Roman" w:cs="Times New Roman"/>
          <w:noProof/>
          <w:sz w:val="24"/>
          <w:szCs w:val="28"/>
        </w:rPr>
        <w:t xml:space="preserve"> crucial for the success of the study </w:t>
      </w:r>
      <w:r w:rsidR="003B3093">
        <w:rPr>
          <w:rFonts w:ascii="Times New Roman" w:hAnsi="Times New Roman" w:cs="Times New Roman"/>
          <w:noProof/>
          <w:sz w:val="24"/>
          <w:szCs w:val="28"/>
        </w:rPr>
        <w:t>supporting the evaluation,</w:t>
      </w:r>
      <w:r w:rsidRPr="00575CC5">
        <w:rPr>
          <w:rFonts w:ascii="Times New Roman" w:hAnsi="Times New Roman" w:cs="Times New Roman"/>
          <w:noProof/>
          <w:sz w:val="24"/>
          <w:szCs w:val="28"/>
        </w:rPr>
        <w:t xml:space="preserve"> since the input </w:t>
      </w:r>
      <w:r w:rsidR="00286EB5">
        <w:rPr>
          <w:rFonts w:ascii="Times New Roman" w:hAnsi="Times New Roman" w:cs="Times New Roman"/>
          <w:noProof/>
          <w:sz w:val="24"/>
          <w:szCs w:val="28"/>
        </w:rPr>
        <w:t>by</w:t>
      </w:r>
      <w:r w:rsidRPr="00575CC5">
        <w:rPr>
          <w:rFonts w:ascii="Times New Roman" w:hAnsi="Times New Roman" w:cs="Times New Roman"/>
          <w:noProof/>
          <w:sz w:val="24"/>
          <w:szCs w:val="28"/>
        </w:rPr>
        <w:t xml:space="preserve"> stakeholders in the </w:t>
      </w:r>
      <w:r w:rsidR="00835A71">
        <w:rPr>
          <w:rFonts w:ascii="Times New Roman" w:hAnsi="Times New Roman" w:cs="Times New Roman"/>
          <w:noProof/>
          <w:sz w:val="24"/>
          <w:szCs w:val="28"/>
        </w:rPr>
        <w:t>process</w:t>
      </w:r>
      <w:r w:rsidR="00835A71"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was key </w:t>
      </w:r>
      <w:r w:rsidR="00835A71">
        <w:rPr>
          <w:rFonts w:ascii="Times New Roman" w:hAnsi="Times New Roman" w:cs="Times New Roman"/>
          <w:noProof/>
          <w:sz w:val="24"/>
          <w:szCs w:val="28"/>
        </w:rPr>
        <w:t>to</w:t>
      </w:r>
      <w:r w:rsidR="00835A71"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gathering the required data and formulating findings.</w:t>
      </w:r>
    </w:p>
    <w:p w14:paraId="789C0CF3" w14:textId="005A3C60" w:rsidR="00C87C82" w:rsidRPr="00575CC5" w:rsidRDefault="00C87C82" w:rsidP="00C87C82">
      <w:pPr>
        <w:jc w:val="both"/>
        <w:rPr>
          <w:rFonts w:ascii="Times New Roman" w:hAnsi="Times New Roman" w:cs="Times New Roman"/>
          <w:noProof/>
          <w:sz w:val="24"/>
          <w:szCs w:val="28"/>
          <w:lang w:val="en-IE"/>
        </w:rPr>
      </w:pPr>
      <w:r w:rsidRPr="00575CC5">
        <w:rPr>
          <w:rFonts w:ascii="Times New Roman" w:hAnsi="Times New Roman" w:cs="Times New Roman"/>
          <w:noProof/>
          <w:sz w:val="24"/>
          <w:szCs w:val="28"/>
        </w:rPr>
        <w:t xml:space="preserve">The </w:t>
      </w:r>
      <w:r w:rsidR="00835A71" w:rsidRPr="00575CC5">
        <w:rPr>
          <w:rFonts w:ascii="Times New Roman" w:hAnsi="Times New Roman" w:cs="Times New Roman"/>
          <w:noProof/>
          <w:sz w:val="24"/>
          <w:szCs w:val="28"/>
        </w:rPr>
        <w:t>data</w:t>
      </w:r>
      <w:r w:rsidR="00835A71">
        <w:rPr>
          <w:rFonts w:ascii="Times New Roman" w:hAnsi="Times New Roman" w:cs="Times New Roman"/>
          <w:noProof/>
          <w:sz w:val="24"/>
          <w:szCs w:val="28"/>
        </w:rPr>
        <w:t>-</w:t>
      </w:r>
      <w:r w:rsidRPr="00575CC5">
        <w:rPr>
          <w:rFonts w:ascii="Times New Roman" w:hAnsi="Times New Roman" w:cs="Times New Roman"/>
          <w:noProof/>
          <w:sz w:val="24"/>
          <w:szCs w:val="28"/>
        </w:rPr>
        <w:t xml:space="preserve">collection tools selected for this </w:t>
      </w:r>
      <w:r w:rsidR="005B1A40">
        <w:rPr>
          <w:rFonts w:ascii="Times New Roman" w:hAnsi="Times New Roman" w:cs="Times New Roman"/>
          <w:noProof/>
          <w:sz w:val="24"/>
          <w:szCs w:val="28"/>
        </w:rPr>
        <w:t xml:space="preserve">supporting </w:t>
      </w:r>
      <w:r w:rsidRPr="00575CC5">
        <w:rPr>
          <w:rFonts w:ascii="Times New Roman" w:hAnsi="Times New Roman" w:cs="Times New Roman"/>
          <w:noProof/>
          <w:sz w:val="24"/>
          <w:szCs w:val="28"/>
        </w:rPr>
        <w:t xml:space="preserve">study included: desk research, interviews, online survey, meetings and tertiary experts – of which the interviews and online survey are the stakeholder consultation tools of most importance for this synopsis report. </w:t>
      </w:r>
    </w:p>
    <w:p w14:paraId="15A9CD14" w14:textId="77777777" w:rsidR="00C87C82" w:rsidRPr="00575CC5" w:rsidRDefault="00C87C82" w:rsidP="008A47B8">
      <w:pPr>
        <w:pStyle w:val="Heading2"/>
        <w:rPr>
          <w:noProof/>
          <w:lang w:val="en-IE"/>
        </w:rPr>
      </w:pPr>
      <w:bookmarkStart w:id="100" w:name="_Toc223439282"/>
      <w:r w:rsidRPr="00575CC5">
        <w:rPr>
          <w:noProof/>
        </w:rPr>
        <w:t>Desk research</w:t>
      </w:r>
      <w:bookmarkEnd w:id="100"/>
    </w:p>
    <w:p w14:paraId="2E2D230D" w14:textId="21E48DAC" w:rsidR="00C87C82" w:rsidRPr="00575CC5" w:rsidRDefault="00C87C82" w:rsidP="00C87C82">
      <w:pPr>
        <w:jc w:val="both"/>
        <w:rPr>
          <w:rFonts w:ascii="Times New Roman" w:hAnsi="Times New Roman" w:cs="Times New Roman"/>
          <w:noProof/>
          <w:sz w:val="24"/>
          <w:szCs w:val="28"/>
        </w:rPr>
      </w:pPr>
      <w:r w:rsidRPr="00575CC5">
        <w:rPr>
          <w:rFonts w:ascii="Times New Roman" w:hAnsi="Times New Roman" w:cs="Times New Roman"/>
          <w:noProof/>
          <w:sz w:val="24"/>
          <w:szCs w:val="28"/>
        </w:rPr>
        <w:t xml:space="preserve">A fundamental component of the study, desk research </w:t>
      </w:r>
      <w:r w:rsidR="00835A71">
        <w:rPr>
          <w:rFonts w:ascii="Times New Roman" w:hAnsi="Times New Roman" w:cs="Times New Roman"/>
          <w:noProof/>
          <w:sz w:val="24"/>
          <w:szCs w:val="28"/>
        </w:rPr>
        <w:t>was</w:t>
      </w:r>
      <w:r w:rsidRPr="00575CC5">
        <w:rPr>
          <w:rFonts w:ascii="Times New Roman" w:hAnsi="Times New Roman" w:cs="Times New Roman"/>
          <w:noProof/>
          <w:sz w:val="24"/>
          <w:szCs w:val="28"/>
        </w:rPr>
        <w:t xml:space="preserve"> ongoing </w:t>
      </w:r>
      <w:r w:rsidR="00835A71">
        <w:rPr>
          <w:rFonts w:ascii="Times New Roman" w:hAnsi="Times New Roman" w:cs="Times New Roman"/>
          <w:noProof/>
          <w:sz w:val="24"/>
          <w:szCs w:val="28"/>
        </w:rPr>
        <w:t>from</w:t>
      </w:r>
      <w:r w:rsidR="00835A71"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the inception of the project until its conclusion. This encompasses the review of existing legal AML frameworks, international AML standards, specialised reports, relevant initiatives, updates and current trends.  </w:t>
      </w:r>
    </w:p>
    <w:p w14:paraId="14A678B3" w14:textId="77777777" w:rsidR="00C87C82" w:rsidRPr="00575CC5" w:rsidRDefault="00C87C82" w:rsidP="008A47B8">
      <w:pPr>
        <w:pStyle w:val="Heading2"/>
        <w:rPr>
          <w:noProof/>
          <w:lang w:val="en-IE"/>
        </w:rPr>
      </w:pPr>
      <w:bookmarkStart w:id="101" w:name="_Toc223439283"/>
      <w:r w:rsidRPr="00575CC5">
        <w:rPr>
          <w:noProof/>
        </w:rPr>
        <w:t>Discovery interviews</w:t>
      </w:r>
      <w:bookmarkEnd w:id="101"/>
    </w:p>
    <w:p w14:paraId="51712FBC" w14:textId="3E170637" w:rsidR="00C87C82" w:rsidRPr="00575CC5" w:rsidRDefault="00C87C82" w:rsidP="00C87C82">
      <w:pPr>
        <w:jc w:val="both"/>
        <w:rPr>
          <w:rFonts w:ascii="Times New Roman" w:hAnsi="Times New Roman" w:cs="Times New Roman"/>
          <w:noProof/>
          <w:sz w:val="24"/>
          <w:szCs w:val="28"/>
        </w:rPr>
      </w:pPr>
      <w:r w:rsidRPr="00575CC5">
        <w:rPr>
          <w:rFonts w:ascii="Times New Roman" w:hAnsi="Times New Roman" w:cs="Times New Roman"/>
          <w:noProof/>
          <w:sz w:val="24"/>
          <w:szCs w:val="28"/>
        </w:rPr>
        <w:t xml:space="preserve">A total of 11 discovery interviews were conducted between </w:t>
      </w:r>
      <w:r w:rsidR="00835A71">
        <w:rPr>
          <w:rFonts w:ascii="Times New Roman" w:hAnsi="Times New Roman" w:cs="Times New Roman"/>
          <w:noProof/>
          <w:sz w:val="24"/>
          <w:szCs w:val="28"/>
        </w:rPr>
        <w:t>staff</w:t>
      </w:r>
      <w:r w:rsidR="00835A71"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of the European Commission and the Evaluation Team, comprising 5 interviews with representatives from Directorate-General Migration and Home Affairs (DG HOME) and 6 interviews with the Directorate-General for Justice and Consumers (DG JUST), the Directorate-General for Taxation and Customs Union (DG TAXUD), the Directorate‑General for Financial Stability, Financial Services and Capital Markets Union (DG FISMA), the Directorate-General for Neighbourhood and Enlargement Negotiations (DG NEAR), the European Anti-Fraud Office (OLAF), and the European External Action Service (EEAS). These interviews were organised to gain a deeper understanding of expectations regarding the evaluation process and to glean insights into the perspectives of the </w:t>
      </w:r>
      <w:r w:rsidR="00835A71">
        <w:rPr>
          <w:rFonts w:ascii="Times New Roman" w:hAnsi="Times New Roman" w:cs="Times New Roman"/>
          <w:noProof/>
          <w:sz w:val="24"/>
          <w:szCs w:val="28"/>
        </w:rPr>
        <w:t>staff</w:t>
      </w:r>
      <w:r w:rsidR="00835A71"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regarding the implementation of the Directive.</w:t>
      </w:r>
    </w:p>
    <w:p w14:paraId="7E412EC9" w14:textId="77777777" w:rsidR="00C87C82" w:rsidRPr="00575CC5" w:rsidRDefault="00C87C82" w:rsidP="008A47B8">
      <w:pPr>
        <w:pStyle w:val="Heading2"/>
        <w:rPr>
          <w:noProof/>
          <w:lang w:val="en-IE"/>
        </w:rPr>
      </w:pPr>
      <w:bookmarkStart w:id="102" w:name="_Toc223439284"/>
      <w:r w:rsidRPr="00F02686">
        <w:rPr>
          <w:iCs/>
          <w:noProof/>
        </w:rPr>
        <w:t>Ad hoc</w:t>
      </w:r>
      <w:r w:rsidRPr="00575CC5">
        <w:rPr>
          <w:i/>
          <w:noProof/>
        </w:rPr>
        <w:t xml:space="preserve"> </w:t>
      </w:r>
      <w:r w:rsidRPr="00575CC5">
        <w:rPr>
          <w:noProof/>
        </w:rPr>
        <w:t>interviews:</w:t>
      </w:r>
      <w:bookmarkEnd w:id="102"/>
    </w:p>
    <w:p w14:paraId="25ACE003" w14:textId="16D8B3BF" w:rsidR="00C87C82" w:rsidRPr="00575CC5" w:rsidRDefault="00C87C82" w:rsidP="00C87C82">
      <w:pPr>
        <w:jc w:val="both"/>
        <w:rPr>
          <w:rFonts w:ascii="Times New Roman" w:hAnsi="Times New Roman" w:cs="Times New Roman"/>
          <w:noProof/>
          <w:sz w:val="24"/>
          <w:szCs w:val="28"/>
        </w:rPr>
      </w:pPr>
      <w:r w:rsidRPr="00575CC5">
        <w:rPr>
          <w:rFonts w:ascii="Times New Roman" w:hAnsi="Times New Roman" w:cs="Times New Roman"/>
          <w:noProof/>
          <w:sz w:val="24"/>
          <w:szCs w:val="28"/>
        </w:rPr>
        <w:t>The aim of these ad</w:t>
      </w:r>
      <w:r w:rsidR="008C6A04">
        <w:rPr>
          <w:rFonts w:ascii="Times New Roman" w:hAnsi="Times New Roman" w:cs="Times New Roman"/>
          <w:noProof/>
          <w:sz w:val="24"/>
          <w:szCs w:val="28"/>
        </w:rPr>
        <w:t xml:space="preserve"> </w:t>
      </w:r>
      <w:r w:rsidRPr="00575CC5">
        <w:rPr>
          <w:rFonts w:ascii="Times New Roman" w:hAnsi="Times New Roman" w:cs="Times New Roman"/>
          <w:noProof/>
          <w:sz w:val="24"/>
          <w:szCs w:val="28"/>
        </w:rPr>
        <w:t>hoc interviews was to collect further qualitative evidence from key stakeholders and fill</w:t>
      </w:r>
      <w:r w:rsidR="008C6A04">
        <w:rPr>
          <w:rFonts w:ascii="Times New Roman" w:hAnsi="Times New Roman" w:cs="Times New Roman"/>
          <w:noProof/>
          <w:sz w:val="24"/>
          <w:szCs w:val="28"/>
        </w:rPr>
        <w:t xml:space="preserve"> in</w:t>
      </w:r>
      <w:r w:rsidRPr="00575CC5">
        <w:rPr>
          <w:rFonts w:ascii="Times New Roman" w:hAnsi="Times New Roman" w:cs="Times New Roman"/>
          <w:noProof/>
          <w:sz w:val="24"/>
          <w:szCs w:val="28"/>
        </w:rPr>
        <w:t xml:space="preserve"> any information gaps (e.g. online survey).</w:t>
      </w:r>
    </w:p>
    <w:p w14:paraId="4DDA4903" w14:textId="77777777" w:rsidR="00E949DF" w:rsidRPr="00575CC5" w:rsidRDefault="00E949DF" w:rsidP="00C87C82">
      <w:pPr>
        <w:rPr>
          <w:rFonts w:ascii="Times New Roman" w:hAnsi="Times New Roman" w:cs="Times New Roman"/>
          <w:noProof/>
          <w:szCs w:val="24"/>
        </w:rPr>
      </w:pPr>
    </w:p>
    <w:p w14:paraId="4ECCB298" w14:textId="77777777" w:rsidR="00C87C82" w:rsidRPr="00575CC5" w:rsidRDefault="00C87C82" w:rsidP="00C87C82">
      <w:pPr>
        <w:pStyle w:val="Caption"/>
        <w:spacing w:line="276" w:lineRule="auto"/>
        <w:rPr>
          <w:rFonts w:ascii="Times New Roman" w:hAnsi="Times New Roman" w:cs="Times New Roman"/>
          <w:noProof/>
        </w:rPr>
      </w:pPr>
      <w:r w:rsidRPr="00575CC5">
        <w:rPr>
          <w:rFonts w:ascii="Times New Roman" w:hAnsi="Times New Roman" w:cs="Times New Roman"/>
          <w:noProof/>
        </w:rPr>
        <w:t xml:space="preserve">Overview of interviews conducted (discovery interviews and </w:t>
      </w:r>
      <w:r w:rsidRPr="00575CC5">
        <w:rPr>
          <w:rFonts w:ascii="Times New Roman" w:hAnsi="Times New Roman" w:cs="Times New Roman"/>
          <w:i/>
          <w:noProof/>
        </w:rPr>
        <w:t>ad hoc</w:t>
      </w:r>
      <w:r w:rsidRPr="00575CC5">
        <w:rPr>
          <w:rFonts w:ascii="Times New Roman" w:hAnsi="Times New Roman" w:cs="Times New Roman"/>
          <w:noProof/>
        </w:rPr>
        <w:t xml:space="preserve"> interviews)</w:t>
      </w:r>
    </w:p>
    <w:tbl>
      <w:tblPr>
        <w:tblStyle w:val="Deloittetable611"/>
        <w:tblW w:w="9946" w:type="dxa"/>
        <w:tblLook w:val="04A0" w:firstRow="1" w:lastRow="0" w:firstColumn="1" w:lastColumn="0" w:noHBand="0" w:noVBand="1"/>
      </w:tblPr>
      <w:tblGrid>
        <w:gridCol w:w="2218"/>
        <w:gridCol w:w="2447"/>
        <w:gridCol w:w="1245"/>
        <w:gridCol w:w="2086"/>
        <w:gridCol w:w="1950"/>
      </w:tblGrid>
      <w:tr w:rsidR="00C87C82" w:rsidRPr="00575CC5" w14:paraId="5E8A63B2" w14:textId="77777777">
        <w:trPr>
          <w:trHeight w:val="164"/>
        </w:trPr>
        <w:tc>
          <w:tcPr>
            <w:tcW w:w="2218" w:type="dxa"/>
          </w:tcPr>
          <w:p w14:paraId="1DEC60DD" w14:textId="77777777" w:rsidR="00C87C82" w:rsidRPr="00575CC5" w:rsidRDefault="00C87C82">
            <w:pPr>
              <w:spacing w:line="276" w:lineRule="auto"/>
              <w:contextualSpacing/>
              <w:rPr>
                <w:rFonts w:ascii="Times New Roman" w:hAnsi="Times New Roman" w:cs="Times New Roman"/>
                <w:b/>
                <w:bCs/>
                <w:noProof/>
              </w:rPr>
            </w:pPr>
            <w:r w:rsidRPr="00575CC5">
              <w:rPr>
                <w:rFonts w:ascii="Times New Roman" w:hAnsi="Times New Roman" w:cs="Times New Roman"/>
                <w:b/>
                <w:bCs/>
                <w:noProof/>
              </w:rPr>
              <w:t>Stakeholder</w:t>
            </w:r>
          </w:p>
        </w:tc>
        <w:tc>
          <w:tcPr>
            <w:tcW w:w="2447" w:type="dxa"/>
            <w:vAlign w:val="center"/>
          </w:tcPr>
          <w:p w14:paraId="104CCA7E" w14:textId="77777777" w:rsidR="00C87C82" w:rsidRPr="00575CC5" w:rsidRDefault="00C87C82">
            <w:pPr>
              <w:spacing w:line="276" w:lineRule="auto"/>
              <w:contextualSpacing/>
              <w:jc w:val="center"/>
              <w:rPr>
                <w:rFonts w:ascii="Times New Roman" w:hAnsi="Times New Roman" w:cs="Times New Roman"/>
                <w:b/>
                <w:bCs/>
                <w:noProof/>
              </w:rPr>
            </w:pPr>
            <w:r w:rsidRPr="00575CC5">
              <w:rPr>
                <w:rFonts w:ascii="Times New Roman" w:hAnsi="Times New Roman" w:cs="Times New Roman"/>
                <w:b/>
                <w:bCs/>
                <w:noProof/>
              </w:rPr>
              <w:t>Stakeholder Type</w:t>
            </w:r>
          </w:p>
        </w:tc>
        <w:tc>
          <w:tcPr>
            <w:tcW w:w="1245" w:type="dxa"/>
            <w:vAlign w:val="center"/>
          </w:tcPr>
          <w:p w14:paraId="6D00ECD5" w14:textId="77777777" w:rsidR="00C87C82" w:rsidRPr="00575CC5" w:rsidRDefault="00C87C82">
            <w:pPr>
              <w:spacing w:line="276" w:lineRule="auto"/>
              <w:contextualSpacing/>
              <w:jc w:val="center"/>
              <w:rPr>
                <w:rFonts w:ascii="Times New Roman" w:hAnsi="Times New Roman" w:cs="Times New Roman"/>
                <w:b/>
                <w:bCs/>
                <w:noProof/>
              </w:rPr>
            </w:pPr>
            <w:r w:rsidRPr="00575CC5">
              <w:rPr>
                <w:rFonts w:ascii="Times New Roman" w:hAnsi="Times New Roman" w:cs="Times New Roman"/>
                <w:b/>
                <w:bCs/>
                <w:noProof/>
              </w:rPr>
              <w:t xml:space="preserve"># of </w:t>
            </w:r>
          </w:p>
          <w:p w14:paraId="578A95E6" w14:textId="77777777" w:rsidR="00C87C82" w:rsidRPr="00575CC5" w:rsidRDefault="00C87C82">
            <w:pPr>
              <w:spacing w:line="276" w:lineRule="auto"/>
              <w:contextualSpacing/>
              <w:jc w:val="center"/>
              <w:rPr>
                <w:rFonts w:ascii="Times New Roman" w:hAnsi="Times New Roman" w:cs="Times New Roman"/>
                <w:b/>
                <w:bCs/>
                <w:noProof/>
              </w:rPr>
            </w:pPr>
            <w:r w:rsidRPr="00575CC5">
              <w:rPr>
                <w:rFonts w:ascii="Times New Roman" w:hAnsi="Times New Roman" w:cs="Times New Roman"/>
                <w:b/>
                <w:bCs/>
                <w:noProof/>
              </w:rPr>
              <w:t>Interviews</w:t>
            </w:r>
          </w:p>
        </w:tc>
        <w:tc>
          <w:tcPr>
            <w:tcW w:w="2086" w:type="dxa"/>
            <w:vAlign w:val="center"/>
          </w:tcPr>
          <w:p w14:paraId="7AA56F65" w14:textId="77777777" w:rsidR="00C87C82" w:rsidRPr="00575CC5" w:rsidRDefault="00C87C82">
            <w:pPr>
              <w:spacing w:line="276" w:lineRule="auto"/>
              <w:contextualSpacing/>
              <w:jc w:val="center"/>
              <w:rPr>
                <w:rFonts w:ascii="Times New Roman" w:hAnsi="Times New Roman" w:cs="Times New Roman"/>
                <w:b/>
                <w:bCs/>
                <w:noProof/>
              </w:rPr>
            </w:pPr>
            <w:r w:rsidRPr="00575CC5">
              <w:rPr>
                <w:rFonts w:ascii="Times New Roman" w:hAnsi="Times New Roman" w:cs="Times New Roman"/>
                <w:b/>
                <w:bCs/>
                <w:noProof/>
              </w:rPr>
              <w:t>Interview type</w:t>
            </w:r>
          </w:p>
        </w:tc>
        <w:tc>
          <w:tcPr>
            <w:tcW w:w="1950" w:type="dxa"/>
            <w:vAlign w:val="center"/>
          </w:tcPr>
          <w:p w14:paraId="37AF638A" w14:textId="77777777" w:rsidR="00C87C82" w:rsidRPr="00575CC5" w:rsidRDefault="00C87C82">
            <w:pPr>
              <w:spacing w:line="276" w:lineRule="auto"/>
              <w:contextualSpacing/>
              <w:jc w:val="center"/>
              <w:rPr>
                <w:rFonts w:ascii="Times New Roman" w:hAnsi="Times New Roman" w:cs="Times New Roman"/>
                <w:b/>
                <w:bCs/>
                <w:noProof/>
              </w:rPr>
            </w:pPr>
            <w:r w:rsidRPr="00575CC5">
              <w:rPr>
                <w:rFonts w:ascii="Times New Roman" w:hAnsi="Times New Roman" w:cs="Times New Roman"/>
                <w:b/>
                <w:bCs/>
                <w:noProof/>
              </w:rPr>
              <w:t>Date(s)</w:t>
            </w:r>
          </w:p>
        </w:tc>
      </w:tr>
      <w:tr w:rsidR="00C87C82" w:rsidRPr="00575CC5" w14:paraId="02526632" w14:textId="77777777">
        <w:trPr>
          <w:trHeight w:val="164"/>
        </w:trPr>
        <w:tc>
          <w:tcPr>
            <w:tcW w:w="2218" w:type="dxa"/>
            <w:vAlign w:val="center"/>
          </w:tcPr>
          <w:p w14:paraId="7E1F9733"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DG HOME</w:t>
            </w:r>
          </w:p>
        </w:tc>
        <w:tc>
          <w:tcPr>
            <w:tcW w:w="2447" w:type="dxa"/>
            <w:vAlign w:val="center"/>
          </w:tcPr>
          <w:p w14:paraId="1CF8832E" w14:textId="12746002" w:rsidR="00C87C82" w:rsidRPr="00575CC5" w:rsidRDefault="00C87C82">
            <w:pPr>
              <w:spacing w:before="240"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04CD34BC" w14:textId="77777777" w:rsidR="00C87C82" w:rsidRPr="00575CC5" w:rsidRDefault="00C87C82">
            <w:pPr>
              <w:spacing w:before="240"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5 </w:t>
            </w:r>
          </w:p>
        </w:tc>
        <w:tc>
          <w:tcPr>
            <w:tcW w:w="2086" w:type="dxa"/>
            <w:vAlign w:val="center"/>
          </w:tcPr>
          <w:p w14:paraId="4F6CCC8A"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interviews</w:t>
            </w:r>
          </w:p>
        </w:tc>
        <w:tc>
          <w:tcPr>
            <w:tcW w:w="1950" w:type="dxa"/>
            <w:vAlign w:val="center"/>
          </w:tcPr>
          <w:p w14:paraId="1BEFA579" w14:textId="77777777" w:rsidR="00C87C82" w:rsidRPr="00575CC5" w:rsidRDefault="00C87C82">
            <w:pPr>
              <w:spacing w:line="276" w:lineRule="auto"/>
              <w:jc w:val="center"/>
              <w:rPr>
                <w:rFonts w:ascii="Times New Roman" w:hAnsi="Times New Roman" w:cs="Times New Roman"/>
                <w:noProof/>
                <w:sz w:val="20"/>
                <w:szCs w:val="20"/>
              </w:rPr>
            </w:pPr>
            <w:r w:rsidRPr="00575CC5">
              <w:rPr>
                <w:rFonts w:ascii="Times New Roman" w:hAnsi="Times New Roman" w:cs="Times New Roman"/>
                <w:noProof/>
                <w:sz w:val="20"/>
                <w:szCs w:val="20"/>
              </w:rPr>
              <w:t>12/1/2024 (2), 15/1/2024</w:t>
            </w:r>
          </w:p>
          <w:p w14:paraId="53ABD68B" w14:textId="77777777" w:rsidR="00C87C82" w:rsidRPr="00575CC5" w:rsidRDefault="00C87C82">
            <w:pPr>
              <w:spacing w:line="276" w:lineRule="auto"/>
              <w:jc w:val="center"/>
              <w:rPr>
                <w:rFonts w:ascii="Times New Roman" w:hAnsi="Times New Roman" w:cs="Times New Roman"/>
                <w:noProof/>
                <w:sz w:val="20"/>
                <w:szCs w:val="20"/>
              </w:rPr>
            </w:pPr>
            <w:r w:rsidRPr="00575CC5">
              <w:rPr>
                <w:rFonts w:ascii="Times New Roman" w:hAnsi="Times New Roman" w:cs="Times New Roman"/>
                <w:noProof/>
                <w:sz w:val="20"/>
                <w:szCs w:val="20"/>
              </w:rPr>
              <w:t>16/1/2024, 19/1/2024</w:t>
            </w:r>
          </w:p>
        </w:tc>
      </w:tr>
      <w:tr w:rsidR="00C87C82" w:rsidRPr="00575CC5" w14:paraId="36721E3B" w14:textId="77777777">
        <w:trPr>
          <w:trHeight w:val="150"/>
        </w:trPr>
        <w:tc>
          <w:tcPr>
            <w:tcW w:w="2218" w:type="dxa"/>
            <w:vAlign w:val="center"/>
          </w:tcPr>
          <w:p w14:paraId="2E273B85"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DG JUST</w:t>
            </w:r>
          </w:p>
        </w:tc>
        <w:tc>
          <w:tcPr>
            <w:tcW w:w="2447" w:type="dxa"/>
            <w:vAlign w:val="center"/>
          </w:tcPr>
          <w:p w14:paraId="32232F5E" w14:textId="1593FA5B"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0ADCEFA9"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58E2D6F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w:t>
            </w:r>
          </w:p>
        </w:tc>
        <w:tc>
          <w:tcPr>
            <w:tcW w:w="1950" w:type="dxa"/>
            <w:vAlign w:val="center"/>
          </w:tcPr>
          <w:p w14:paraId="115CF6BB"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17/1/2024</w:t>
            </w:r>
          </w:p>
        </w:tc>
      </w:tr>
      <w:tr w:rsidR="00C87C82" w:rsidRPr="00575CC5" w14:paraId="45EFAF4C" w14:textId="77777777">
        <w:trPr>
          <w:trHeight w:val="150"/>
        </w:trPr>
        <w:tc>
          <w:tcPr>
            <w:tcW w:w="2218" w:type="dxa"/>
            <w:vAlign w:val="center"/>
          </w:tcPr>
          <w:p w14:paraId="52FE7D0C"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DG FISMA</w:t>
            </w:r>
          </w:p>
        </w:tc>
        <w:tc>
          <w:tcPr>
            <w:tcW w:w="2447" w:type="dxa"/>
            <w:vAlign w:val="center"/>
          </w:tcPr>
          <w:p w14:paraId="0810175F" w14:textId="68F82F6D"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6C5D3B1A"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4FB13900"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w:t>
            </w:r>
          </w:p>
        </w:tc>
        <w:tc>
          <w:tcPr>
            <w:tcW w:w="1950" w:type="dxa"/>
            <w:vAlign w:val="center"/>
          </w:tcPr>
          <w:p w14:paraId="5CE485D9"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17/1/2024</w:t>
            </w:r>
          </w:p>
        </w:tc>
      </w:tr>
      <w:tr w:rsidR="00C87C82" w:rsidRPr="00575CC5" w14:paraId="1A319950" w14:textId="77777777">
        <w:trPr>
          <w:trHeight w:val="150"/>
        </w:trPr>
        <w:tc>
          <w:tcPr>
            <w:tcW w:w="2218" w:type="dxa"/>
            <w:vAlign w:val="center"/>
          </w:tcPr>
          <w:p w14:paraId="1724CBCE"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DG TAXUD</w:t>
            </w:r>
          </w:p>
        </w:tc>
        <w:tc>
          <w:tcPr>
            <w:tcW w:w="2447" w:type="dxa"/>
            <w:vAlign w:val="center"/>
          </w:tcPr>
          <w:p w14:paraId="79AB6577" w14:textId="1440558C"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3F6078F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730CB959"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w:t>
            </w:r>
          </w:p>
        </w:tc>
        <w:tc>
          <w:tcPr>
            <w:tcW w:w="1950" w:type="dxa"/>
            <w:vAlign w:val="center"/>
          </w:tcPr>
          <w:p w14:paraId="4A2F7894"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10/1/2024</w:t>
            </w:r>
          </w:p>
        </w:tc>
      </w:tr>
      <w:tr w:rsidR="00C87C82" w:rsidRPr="00575CC5" w14:paraId="5859A029" w14:textId="77777777">
        <w:trPr>
          <w:trHeight w:val="150"/>
        </w:trPr>
        <w:tc>
          <w:tcPr>
            <w:tcW w:w="2218" w:type="dxa"/>
            <w:vAlign w:val="center"/>
          </w:tcPr>
          <w:p w14:paraId="7BD359D7"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DG NEAR</w:t>
            </w:r>
          </w:p>
        </w:tc>
        <w:tc>
          <w:tcPr>
            <w:tcW w:w="2447" w:type="dxa"/>
            <w:vAlign w:val="center"/>
          </w:tcPr>
          <w:p w14:paraId="762A8DC1" w14:textId="031E9363"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598D20AB"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162B2E3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w:t>
            </w:r>
          </w:p>
          <w:p w14:paraId="1197E120" w14:textId="4708E0EE"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Case </w:t>
            </w:r>
            <w:r w:rsidR="000D2FA0">
              <w:rPr>
                <w:rFonts w:ascii="Times New Roman" w:hAnsi="Times New Roman" w:cs="Times New Roman"/>
                <w:noProof/>
                <w:sz w:val="20"/>
                <w:szCs w:val="20"/>
              </w:rPr>
              <w:t>s</w:t>
            </w:r>
            <w:r w:rsidR="000D2FA0" w:rsidRPr="00575CC5">
              <w:rPr>
                <w:rFonts w:ascii="Times New Roman" w:hAnsi="Times New Roman" w:cs="Times New Roman"/>
                <w:noProof/>
                <w:sz w:val="20"/>
                <w:szCs w:val="20"/>
              </w:rPr>
              <w:t xml:space="preserve">tudy </w:t>
            </w:r>
            <w:r w:rsidRPr="00575CC5">
              <w:rPr>
                <w:rFonts w:ascii="Times New Roman" w:hAnsi="Times New Roman" w:cs="Times New Roman"/>
                <w:noProof/>
                <w:sz w:val="20"/>
                <w:szCs w:val="20"/>
              </w:rPr>
              <w:t>Interview</w:t>
            </w:r>
          </w:p>
        </w:tc>
        <w:tc>
          <w:tcPr>
            <w:tcW w:w="1950" w:type="dxa"/>
            <w:vAlign w:val="center"/>
          </w:tcPr>
          <w:p w14:paraId="0AA43B81"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19/1/2024</w:t>
            </w:r>
          </w:p>
          <w:p w14:paraId="598B8427"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4/6/2024</w:t>
            </w:r>
          </w:p>
        </w:tc>
      </w:tr>
      <w:tr w:rsidR="00C87C82" w:rsidRPr="00575CC5" w14:paraId="1965D093" w14:textId="77777777">
        <w:trPr>
          <w:trHeight w:val="150"/>
        </w:trPr>
        <w:tc>
          <w:tcPr>
            <w:tcW w:w="2218" w:type="dxa"/>
            <w:vAlign w:val="center"/>
          </w:tcPr>
          <w:p w14:paraId="0162367D"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OLAF</w:t>
            </w:r>
          </w:p>
        </w:tc>
        <w:tc>
          <w:tcPr>
            <w:tcW w:w="2447" w:type="dxa"/>
            <w:vAlign w:val="center"/>
          </w:tcPr>
          <w:p w14:paraId="2FD11AF9" w14:textId="3AA9EB7F"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040499D4"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3F8E110D"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w:t>
            </w:r>
          </w:p>
        </w:tc>
        <w:tc>
          <w:tcPr>
            <w:tcW w:w="1950" w:type="dxa"/>
            <w:vAlign w:val="center"/>
          </w:tcPr>
          <w:p w14:paraId="4830F64D"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16/1/2024</w:t>
            </w:r>
          </w:p>
        </w:tc>
      </w:tr>
      <w:tr w:rsidR="00C87C82" w:rsidRPr="00575CC5" w14:paraId="7122DE48" w14:textId="77777777">
        <w:trPr>
          <w:trHeight w:val="150"/>
        </w:trPr>
        <w:tc>
          <w:tcPr>
            <w:tcW w:w="2218" w:type="dxa"/>
            <w:vAlign w:val="center"/>
          </w:tcPr>
          <w:p w14:paraId="71FF60C1"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EEAS</w:t>
            </w:r>
          </w:p>
        </w:tc>
        <w:tc>
          <w:tcPr>
            <w:tcW w:w="2447" w:type="dxa"/>
            <w:vAlign w:val="center"/>
          </w:tcPr>
          <w:p w14:paraId="6D2FC5A5" w14:textId="23BC3A3C"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5CBE3CC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092DB506"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Discovery interview</w:t>
            </w:r>
          </w:p>
        </w:tc>
        <w:tc>
          <w:tcPr>
            <w:tcW w:w="1950" w:type="dxa"/>
            <w:vAlign w:val="center"/>
          </w:tcPr>
          <w:p w14:paraId="398652CA"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31/1/2024</w:t>
            </w:r>
          </w:p>
        </w:tc>
      </w:tr>
      <w:tr w:rsidR="00C87C82" w:rsidRPr="00575CC5" w14:paraId="7A818842" w14:textId="77777777">
        <w:trPr>
          <w:trHeight w:val="150"/>
        </w:trPr>
        <w:tc>
          <w:tcPr>
            <w:tcW w:w="2218" w:type="dxa"/>
            <w:vAlign w:val="center"/>
          </w:tcPr>
          <w:p w14:paraId="61B65442"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European Tax Federation</w:t>
            </w:r>
          </w:p>
        </w:tc>
        <w:tc>
          <w:tcPr>
            <w:tcW w:w="2447" w:type="dxa"/>
            <w:vAlign w:val="center"/>
          </w:tcPr>
          <w:p w14:paraId="2ACB5B98" w14:textId="7860E900"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b</w:t>
            </w:r>
            <w:r w:rsidRPr="00575CC5">
              <w:rPr>
                <w:rFonts w:ascii="Times New Roman" w:hAnsi="Times New Roman" w:cs="Times New Roman"/>
                <w:noProof/>
                <w:sz w:val="20"/>
                <w:szCs w:val="20"/>
              </w:rPr>
              <w:t xml:space="preserve">usiness </w:t>
            </w:r>
            <w:r w:rsidR="000D2FA0">
              <w:rPr>
                <w:rFonts w:ascii="Times New Roman" w:hAnsi="Times New Roman" w:cs="Times New Roman"/>
                <w:noProof/>
                <w:sz w:val="20"/>
                <w:szCs w:val="20"/>
              </w:rPr>
              <w:t>a</w:t>
            </w:r>
            <w:r w:rsidRPr="00575CC5">
              <w:rPr>
                <w:rFonts w:ascii="Times New Roman" w:hAnsi="Times New Roman" w:cs="Times New Roman"/>
                <w:noProof/>
                <w:sz w:val="20"/>
                <w:szCs w:val="20"/>
              </w:rPr>
              <w:t>ssociation</w:t>
            </w:r>
          </w:p>
        </w:tc>
        <w:tc>
          <w:tcPr>
            <w:tcW w:w="1245" w:type="dxa"/>
            <w:vAlign w:val="center"/>
          </w:tcPr>
          <w:p w14:paraId="5685941C"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5D8FD15C"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Ad hoc interview</w:t>
            </w:r>
          </w:p>
        </w:tc>
        <w:tc>
          <w:tcPr>
            <w:tcW w:w="1950" w:type="dxa"/>
            <w:vAlign w:val="center"/>
          </w:tcPr>
          <w:p w14:paraId="715F926E"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12/2/2024</w:t>
            </w:r>
          </w:p>
        </w:tc>
      </w:tr>
      <w:tr w:rsidR="00C87C82" w:rsidRPr="00575CC5" w14:paraId="509960F2" w14:textId="77777777">
        <w:trPr>
          <w:trHeight w:val="150"/>
        </w:trPr>
        <w:tc>
          <w:tcPr>
            <w:tcW w:w="2218" w:type="dxa"/>
            <w:vAlign w:val="center"/>
          </w:tcPr>
          <w:p w14:paraId="56554762" w14:textId="77777777" w:rsidR="00C87C82" w:rsidRPr="00575CC5" w:rsidRDefault="00C87C82">
            <w:pPr>
              <w:spacing w:line="276" w:lineRule="auto"/>
              <w:contextualSpacing/>
              <w:rPr>
                <w:rFonts w:ascii="Times New Roman" w:hAnsi="Times New Roman" w:cs="Times New Roman"/>
                <w:noProof/>
                <w:sz w:val="20"/>
                <w:szCs w:val="20"/>
              </w:rPr>
            </w:pPr>
            <w:r w:rsidRPr="00575CC5">
              <w:rPr>
                <w:rFonts w:ascii="Times New Roman" w:hAnsi="Times New Roman" w:cs="Times New Roman"/>
                <w:b/>
                <w:bCs/>
                <w:noProof/>
                <w:sz w:val="20"/>
                <w:szCs w:val="20"/>
              </w:rPr>
              <w:t>Accountancy</w:t>
            </w:r>
            <w:r w:rsidRPr="00575CC5">
              <w:rPr>
                <w:rFonts w:ascii="Times New Roman" w:hAnsi="Times New Roman" w:cs="Times New Roman"/>
                <w:noProof/>
                <w:sz w:val="20"/>
                <w:szCs w:val="20"/>
              </w:rPr>
              <w:t xml:space="preserve"> </w:t>
            </w:r>
            <w:r w:rsidRPr="00575CC5">
              <w:rPr>
                <w:rFonts w:ascii="Times New Roman" w:hAnsi="Times New Roman" w:cs="Times New Roman"/>
                <w:b/>
                <w:bCs/>
                <w:noProof/>
                <w:sz w:val="20"/>
                <w:szCs w:val="20"/>
              </w:rPr>
              <w:t>Europe</w:t>
            </w:r>
          </w:p>
        </w:tc>
        <w:tc>
          <w:tcPr>
            <w:tcW w:w="2447" w:type="dxa"/>
            <w:vAlign w:val="center"/>
          </w:tcPr>
          <w:p w14:paraId="20A05ABD" w14:textId="42DE39BD"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b</w:t>
            </w:r>
            <w:r w:rsidRPr="00575CC5">
              <w:rPr>
                <w:rFonts w:ascii="Times New Roman" w:hAnsi="Times New Roman" w:cs="Times New Roman"/>
                <w:noProof/>
                <w:sz w:val="20"/>
                <w:szCs w:val="20"/>
              </w:rPr>
              <w:t xml:space="preserve">usiness </w:t>
            </w:r>
            <w:r w:rsidR="000D2FA0">
              <w:rPr>
                <w:rFonts w:ascii="Times New Roman" w:hAnsi="Times New Roman" w:cs="Times New Roman"/>
                <w:noProof/>
                <w:sz w:val="20"/>
                <w:szCs w:val="20"/>
              </w:rPr>
              <w:t>a</w:t>
            </w:r>
            <w:r w:rsidRPr="00575CC5">
              <w:rPr>
                <w:rFonts w:ascii="Times New Roman" w:hAnsi="Times New Roman" w:cs="Times New Roman"/>
                <w:noProof/>
                <w:sz w:val="20"/>
                <w:szCs w:val="20"/>
              </w:rPr>
              <w:t>ssociation</w:t>
            </w:r>
          </w:p>
        </w:tc>
        <w:tc>
          <w:tcPr>
            <w:tcW w:w="1245" w:type="dxa"/>
            <w:vAlign w:val="center"/>
          </w:tcPr>
          <w:p w14:paraId="42C5B9DC"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3678056A"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Ad hoc interview</w:t>
            </w:r>
          </w:p>
        </w:tc>
        <w:tc>
          <w:tcPr>
            <w:tcW w:w="1950" w:type="dxa"/>
            <w:vAlign w:val="center"/>
          </w:tcPr>
          <w:p w14:paraId="35747AD7"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15/2/2024</w:t>
            </w:r>
          </w:p>
        </w:tc>
      </w:tr>
      <w:tr w:rsidR="00C87C82" w:rsidRPr="00575CC5" w14:paraId="35814492" w14:textId="77777777">
        <w:trPr>
          <w:trHeight w:val="150"/>
        </w:trPr>
        <w:tc>
          <w:tcPr>
            <w:tcW w:w="2218" w:type="dxa"/>
            <w:vAlign w:val="center"/>
          </w:tcPr>
          <w:p w14:paraId="272911C3" w14:textId="77777777" w:rsidR="00C87C82" w:rsidRPr="00575CC5" w:rsidRDefault="00C87C82">
            <w:pPr>
              <w:spacing w:line="276" w:lineRule="auto"/>
              <w:contextualSpacing/>
              <w:rPr>
                <w:rFonts w:ascii="Times New Roman" w:hAnsi="Times New Roman" w:cs="Times New Roman"/>
                <w:b/>
                <w:bCs/>
                <w:noProof/>
                <w:sz w:val="20"/>
                <w:szCs w:val="20"/>
              </w:rPr>
            </w:pPr>
            <w:r w:rsidRPr="00575CC5">
              <w:rPr>
                <w:rFonts w:ascii="Times New Roman" w:hAnsi="Times New Roman" w:cs="Times New Roman"/>
                <w:b/>
                <w:bCs/>
                <w:noProof/>
                <w:sz w:val="20"/>
                <w:szCs w:val="20"/>
              </w:rPr>
              <w:t>Tax Advisors Europe</w:t>
            </w:r>
          </w:p>
        </w:tc>
        <w:tc>
          <w:tcPr>
            <w:tcW w:w="2447" w:type="dxa"/>
            <w:vAlign w:val="center"/>
          </w:tcPr>
          <w:p w14:paraId="6D9B2441" w14:textId="2F23C68B"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b</w:t>
            </w:r>
            <w:r w:rsidRPr="00575CC5">
              <w:rPr>
                <w:rFonts w:ascii="Times New Roman" w:hAnsi="Times New Roman" w:cs="Times New Roman"/>
                <w:noProof/>
                <w:sz w:val="20"/>
                <w:szCs w:val="20"/>
              </w:rPr>
              <w:t xml:space="preserve">usiness </w:t>
            </w:r>
            <w:r w:rsidR="000D2FA0">
              <w:rPr>
                <w:rFonts w:ascii="Times New Roman" w:hAnsi="Times New Roman" w:cs="Times New Roman"/>
                <w:noProof/>
                <w:sz w:val="20"/>
                <w:szCs w:val="20"/>
              </w:rPr>
              <w:t>a</w:t>
            </w:r>
            <w:r w:rsidRPr="00575CC5">
              <w:rPr>
                <w:rFonts w:ascii="Times New Roman" w:hAnsi="Times New Roman" w:cs="Times New Roman"/>
                <w:noProof/>
                <w:sz w:val="20"/>
                <w:szCs w:val="20"/>
              </w:rPr>
              <w:t>ssociation</w:t>
            </w:r>
          </w:p>
        </w:tc>
        <w:tc>
          <w:tcPr>
            <w:tcW w:w="1245" w:type="dxa"/>
            <w:vAlign w:val="center"/>
          </w:tcPr>
          <w:p w14:paraId="73CAB737"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42E39E8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Ad hoc interview</w:t>
            </w:r>
          </w:p>
        </w:tc>
        <w:tc>
          <w:tcPr>
            <w:tcW w:w="1950" w:type="dxa"/>
            <w:vAlign w:val="center"/>
          </w:tcPr>
          <w:p w14:paraId="3144BFDD"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6/3/2024</w:t>
            </w:r>
          </w:p>
        </w:tc>
      </w:tr>
      <w:tr w:rsidR="00C87C82" w:rsidRPr="00575CC5" w14:paraId="1FB8FFE2" w14:textId="77777777">
        <w:trPr>
          <w:trHeight w:val="164"/>
        </w:trPr>
        <w:tc>
          <w:tcPr>
            <w:tcW w:w="2218" w:type="dxa"/>
            <w:vAlign w:val="center"/>
          </w:tcPr>
          <w:p w14:paraId="3B307339" w14:textId="77777777" w:rsidR="00C87C82" w:rsidRPr="00575CC5" w:rsidRDefault="00C87C82">
            <w:pPr>
              <w:spacing w:line="276" w:lineRule="auto"/>
              <w:rPr>
                <w:rFonts w:ascii="Times New Roman" w:hAnsi="Times New Roman" w:cs="Times New Roman"/>
                <w:b/>
                <w:bCs/>
                <w:noProof/>
                <w:sz w:val="20"/>
                <w:szCs w:val="20"/>
              </w:rPr>
            </w:pPr>
            <w:r w:rsidRPr="00575CC5">
              <w:rPr>
                <w:rFonts w:ascii="Times New Roman" w:hAnsi="Times New Roman" w:cs="Times New Roman"/>
                <w:b/>
                <w:bCs/>
                <w:noProof/>
                <w:sz w:val="20"/>
                <w:szCs w:val="20"/>
              </w:rPr>
              <w:t>European Public Prosecutor Office (EPPO)</w:t>
            </w:r>
          </w:p>
        </w:tc>
        <w:tc>
          <w:tcPr>
            <w:tcW w:w="2447" w:type="dxa"/>
            <w:vAlign w:val="center"/>
          </w:tcPr>
          <w:p w14:paraId="4CC137E9" w14:textId="0A847D3E"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2B8AB63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037C59C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Ad hoc interview</w:t>
            </w:r>
          </w:p>
        </w:tc>
        <w:tc>
          <w:tcPr>
            <w:tcW w:w="1950" w:type="dxa"/>
            <w:vAlign w:val="center"/>
          </w:tcPr>
          <w:p w14:paraId="548C26CA"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13/3/2024</w:t>
            </w:r>
          </w:p>
        </w:tc>
      </w:tr>
      <w:tr w:rsidR="00C87C82" w:rsidRPr="00575CC5" w14:paraId="676C6958" w14:textId="77777777">
        <w:trPr>
          <w:trHeight w:val="164"/>
        </w:trPr>
        <w:tc>
          <w:tcPr>
            <w:tcW w:w="2218" w:type="dxa"/>
            <w:vAlign w:val="center"/>
          </w:tcPr>
          <w:p w14:paraId="173D352E" w14:textId="77777777" w:rsidR="00C87C82" w:rsidRPr="00575CC5" w:rsidRDefault="00C87C82">
            <w:pPr>
              <w:spacing w:line="276" w:lineRule="auto"/>
              <w:rPr>
                <w:rFonts w:ascii="Times New Roman" w:hAnsi="Times New Roman" w:cs="Times New Roman"/>
                <w:b/>
                <w:bCs/>
                <w:noProof/>
                <w:sz w:val="20"/>
                <w:szCs w:val="20"/>
              </w:rPr>
            </w:pPr>
            <w:r w:rsidRPr="00575CC5">
              <w:rPr>
                <w:rFonts w:ascii="Times New Roman" w:hAnsi="Times New Roman" w:cs="Times New Roman"/>
                <w:b/>
                <w:bCs/>
                <w:noProof/>
                <w:sz w:val="20"/>
                <w:szCs w:val="20"/>
              </w:rPr>
              <w:t>European Union Agency for Law Enforcement Cooperation (Europol)</w:t>
            </w:r>
          </w:p>
        </w:tc>
        <w:tc>
          <w:tcPr>
            <w:tcW w:w="2447" w:type="dxa"/>
            <w:vAlign w:val="center"/>
          </w:tcPr>
          <w:p w14:paraId="222DE268" w14:textId="17C57696"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Pr="00575CC5">
              <w:rPr>
                <w:rFonts w:ascii="Times New Roman" w:hAnsi="Times New Roman" w:cs="Times New Roman"/>
                <w:noProof/>
                <w:sz w:val="20"/>
                <w:szCs w:val="20"/>
              </w:rPr>
              <w:t>nstitutions</w:t>
            </w:r>
          </w:p>
        </w:tc>
        <w:tc>
          <w:tcPr>
            <w:tcW w:w="1245" w:type="dxa"/>
            <w:vAlign w:val="center"/>
          </w:tcPr>
          <w:p w14:paraId="55536834"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1 </w:t>
            </w:r>
          </w:p>
        </w:tc>
        <w:tc>
          <w:tcPr>
            <w:tcW w:w="2086" w:type="dxa"/>
            <w:vAlign w:val="center"/>
          </w:tcPr>
          <w:p w14:paraId="7BD1641C" w14:textId="2F137522"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Case </w:t>
            </w:r>
            <w:r w:rsidR="000D2FA0">
              <w:rPr>
                <w:rFonts w:ascii="Times New Roman" w:hAnsi="Times New Roman" w:cs="Times New Roman"/>
                <w:noProof/>
                <w:sz w:val="20"/>
                <w:szCs w:val="20"/>
              </w:rPr>
              <w:t>s</w:t>
            </w:r>
            <w:r w:rsidR="000D2FA0" w:rsidRPr="00575CC5">
              <w:rPr>
                <w:rFonts w:ascii="Times New Roman" w:hAnsi="Times New Roman" w:cs="Times New Roman"/>
                <w:noProof/>
                <w:sz w:val="20"/>
                <w:szCs w:val="20"/>
              </w:rPr>
              <w:t xml:space="preserve">tudy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nterview</w:t>
            </w:r>
          </w:p>
        </w:tc>
        <w:tc>
          <w:tcPr>
            <w:tcW w:w="1950" w:type="dxa"/>
            <w:vAlign w:val="center"/>
          </w:tcPr>
          <w:p w14:paraId="2AFA827B"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28/5/2024</w:t>
            </w:r>
          </w:p>
        </w:tc>
      </w:tr>
      <w:tr w:rsidR="00C87C82" w:rsidRPr="00575CC5" w14:paraId="7BDA736E" w14:textId="77777777">
        <w:trPr>
          <w:trHeight w:val="164"/>
        </w:trPr>
        <w:tc>
          <w:tcPr>
            <w:tcW w:w="2218" w:type="dxa"/>
            <w:vAlign w:val="center"/>
          </w:tcPr>
          <w:p w14:paraId="45124BCE" w14:textId="77777777" w:rsidR="00C87C82" w:rsidRPr="00575CC5" w:rsidRDefault="00C87C82">
            <w:pPr>
              <w:spacing w:line="276" w:lineRule="auto"/>
              <w:rPr>
                <w:rFonts w:ascii="Times New Roman" w:hAnsi="Times New Roman" w:cs="Times New Roman"/>
                <w:b/>
                <w:bCs/>
                <w:noProof/>
                <w:sz w:val="20"/>
                <w:szCs w:val="20"/>
              </w:rPr>
            </w:pPr>
            <w:r w:rsidRPr="00575CC5">
              <w:rPr>
                <w:rFonts w:ascii="Times New Roman" w:hAnsi="Times New Roman" w:cs="Times New Roman"/>
                <w:b/>
                <w:bCs/>
                <w:noProof/>
                <w:sz w:val="20"/>
                <w:szCs w:val="20"/>
              </w:rPr>
              <w:t>The European Union Agency for Fundamental Rights (FRA)</w:t>
            </w:r>
          </w:p>
        </w:tc>
        <w:tc>
          <w:tcPr>
            <w:tcW w:w="2447" w:type="dxa"/>
            <w:vAlign w:val="center"/>
          </w:tcPr>
          <w:p w14:paraId="69F2FAD2" w14:textId="188168C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298D3417"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w:t>
            </w:r>
          </w:p>
        </w:tc>
        <w:tc>
          <w:tcPr>
            <w:tcW w:w="2086" w:type="dxa"/>
            <w:vAlign w:val="center"/>
          </w:tcPr>
          <w:p w14:paraId="29141C1E" w14:textId="2BD6AC8C"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Case </w:t>
            </w:r>
            <w:r w:rsidR="000D2FA0">
              <w:rPr>
                <w:rFonts w:ascii="Times New Roman" w:hAnsi="Times New Roman" w:cs="Times New Roman"/>
                <w:noProof/>
                <w:sz w:val="20"/>
                <w:szCs w:val="20"/>
              </w:rPr>
              <w:t>s</w:t>
            </w:r>
            <w:r w:rsidR="000D2FA0" w:rsidRPr="00575CC5">
              <w:rPr>
                <w:rFonts w:ascii="Times New Roman" w:hAnsi="Times New Roman" w:cs="Times New Roman"/>
                <w:noProof/>
                <w:sz w:val="20"/>
                <w:szCs w:val="20"/>
              </w:rPr>
              <w:t xml:space="preserve">tudy </w:t>
            </w:r>
            <w:r w:rsidR="000D2FA0">
              <w:rPr>
                <w:rFonts w:ascii="Times New Roman" w:hAnsi="Times New Roman" w:cs="Times New Roman"/>
                <w:noProof/>
                <w:sz w:val="20"/>
                <w:szCs w:val="20"/>
              </w:rPr>
              <w:t>i</w:t>
            </w:r>
            <w:r w:rsidRPr="00575CC5">
              <w:rPr>
                <w:rFonts w:ascii="Times New Roman" w:hAnsi="Times New Roman" w:cs="Times New Roman"/>
                <w:noProof/>
                <w:sz w:val="20"/>
                <w:szCs w:val="20"/>
              </w:rPr>
              <w:t>nterview</w:t>
            </w:r>
          </w:p>
        </w:tc>
        <w:tc>
          <w:tcPr>
            <w:tcW w:w="1950" w:type="dxa"/>
            <w:vAlign w:val="center"/>
          </w:tcPr>
          <w:p w14:paraId="03876280"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5/6/2024</w:t>
            </w:r>
          </w:p>
        </w:tc>
      </w:tr>
      <w:tr w:rsidR="00C87C82" w:rsidRPr="00575CC5" w14:paraId="1A88B20E" w14:textId="77777777">
        <w:trPr>
          <w:trHeight w:val="164"/>
        </w:trPr>
        <w:tc>
          <w:tcPr>
            <w:tcW w:w="2218" w:type="dxa"/>
            <w:vAlign w:val="center"/>
          </w:tcPr>
          <w:p w14:paraId="068B463D" w14:textId="77777777" w:rsidR="00C87C82" w:rsidRPr="00575CC5" w:rsidRDefault="00C87C82">
            <w:pPr>
              <w:spacing w:line="276" w:lineRule="auto"/>
              <w:rPr>
                <w:rFonts w:ascii="Times New Roman" w:hAnsi="Times New Roman" w:cs="Times New Roman"/>
                <w:b/>
                <w:bCs/>
                <w:noProof/>
                <w:sz w:val="20"/>
                <w:szCs w:val="20"/>
              </w:rPr>
            </w:pPr>
            <w:r w:rsidRPr="00575CC5">
              <w:rPr>
                <w:rFonts w:ascii="Times New Roman" w:hAnsi="Times New Roman" w:cs="Times New Roman"/>
                <w:b/>
                <w:bCs/>
                <w:noProof/>
                <w:sz w:val="20"/>
                <w:szCs w:val="20"/>
              </w:rPr>
              <w:t>EU Delegations</w:t>
            </w:r>
          </w:p>
        </w:tc>
        <w:tc>
          <w:tcPr>
            <w:tcW w:w="2447" w:type="dxa"/>
            <w:vAlign w:val="center"/>
          </w:tcPr>
          <w:p w14:paraId="28124EA1" w14:textId="65A6375F"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EU </w:t>
            </w:r>
            <w:r w:rsidR="000D2FA0">
              <w:rPr>
                <w:rFonts w:ascii="Times New Roman" w:hAnsi="Times New Roman" w:cs="Times New Roman"/>
                <w:noProof/>
                <w:sz w:val="20"/>
                <w:szCs w:val="20"/>
              </w:rPr>
              <w:t>i</w:t>
            </w:r>
            <w:r w:rsidR="000D2FA0" w:rsidRPr="00575CC5">
              <w:rPr>
                <w:rFonts w:ascii="Times New Roman" w:hAnsi="Times New Roman" w:cs="Times New Roman"/>
                <w:noProof/>
                <w:sz w:val="20"/>
                <w:szCs w:val="20"/>
              </w:rPr>
              <w:t>nstitutions</w:t>
            </w:r>
          </w:p>
        </w:tc>
        <w:tc>
          <w:tcPr>
            <w:tcW w:w="1245" w:type="dxa"/>
            <w:vAlign w:val="center"/>
          </w:tcPr>
          <w:p w14:paraId="615F405E"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w:t>
            </w:r>
          </w:p>
        </w:tc>
        <w:tc>
          <w:tcPr>
            <w:tcW w:w="2086" w:type="dxa"/>
            <w:vAlign w:val="center"/>
          </w:tcPr>
          <w:p w14:paraId="1E3533BC" w14:textId="0A934160"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Case </w:t>
            </w:r>
            <w:r w:rsidR="000D2FA0">
              <w:rPr>
                <w:rFonts w:ascii="Times New Roman" w:hAnsi="Times New Roman" w:cs="Times New Roman"/>
                <w:noProof/>
                <w:sz w:val="20"/>
                <w:szCs w:val="20"/>
              </w:rPr>
              <w:t>s</w:t>
            </w:r>
            <w:r w:rsidRPr="00575CC5">
              <w:rPr>
                <w:rFonts w:ascii="Times New Roman" w:hAnsi="Times New Roman" w:cs="Times New Roman"/>
                <w:noProof/>
                <w:sz w:val="20"/>
                <w:szCs w:val="20"/>
              </w:rPr>
              <w:t xml:space="preserve">tudy </w:t>
            </w:r>
            <w:r w:rsidR="000D2FA0">
              <w:rPr>
                <w:rFonts w:ascii="Times New Roman" w:hAnsi="Times New Roman" w:cs="Times New Roman"/>
                <w:noProof/>
                <w:sz w:val="20"/>
                <w:szCs w:val="20"/>
              </w:rPr>
              <w:t>i</w:t>
            </w:r>
            <w:r w:rsidRPr="00575CC5">
              <w:rPr>
                <w:rFonts w:ascii="Times New Roman" w:hAnsi="Times New Roman" w:cs="Times New Roman"/>
                <w:noProof/>
                <w:sz w:val="20"/>
                <w:szCs w:val="20"/>
              </w:rPr>
              <w:t>nterview</w:t>
            </w:r>
          </w:p>
        </w:tc>
        <w:tc>
          <w:tcPr>
            <w:tcW w:w="1950" w:type="dxa"/>
            <w:vAlign w:val="center"/>
          </w:tcPr>
          <w:p w14:paraId="7A0E881D"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4/6/2024</w:t>
            </w:r>
          </w:p>
        </w:tc>
      </w:tr>
      <w:tr w:rsidR="00C87C82" w:rsidRPr="00575CC5" w14:paraId="2A7B8F69" w14:textId="77777777">
        <w:trPr>
          <w:trHeight w:val="164"/>
        </w:trPr>
        <w:tc>
          <w:tcPr>
            <w:tcW w:w="2218" w:type="dxa"/>
          </w:tcPr>
          <w:p w14:paraId="09237DC2" w14:textId="77777777" w:rsidR="00C87C82" w:rsidRPr="00575CC5" w:rsidRDefault="00C87C82">
            <w:pPr>
              <w:spacing w:line="276" w:lineRule="auto"/>
              <w:contextualSpacing/>
              <w:rPr>
                <w:rFonts w:ascii="Times New Roman" w:hAnsi="Times New Roman" w:cs="Times New Roman"/>
                <w:b/>
                <w:bCs/>
                <w:noProof/>
                <w:sz w:val="20"/>
                <w:szCs w:val="20"/>
              </w:rPr>
            </w:pPr>
            <w:r w:rsidRPr="00575CC5">
              <w:rPr>
                <w:rFonts w:ascii="Times New Roman" w:hAnsi="Times New Roman" w:cs="Times New Roman"/>
                <w:b/>
                <w:bCs/>
                <w:noProof/>
                <w:sz w:val="20"/>
                <w:szCs w:val="20"/>
              </w:rPr>
              <w:t>EMPACT network (representative of FR)</w:t>
            </w:r>
          </w:p>
        </w:tc>
        <w:tc>
          <w:tcPr>
            <w:tcW w:w="2447" w:type="dxa"/>
            <w:vAlign w:val="center"/>
          </w:tcPr>
          <w:p w14:paraId="319C3792"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National authorities </w:t>
            </w:r>
          </w:p>
        </w:tc>
        <w:tc>
          <w:tcPr>
            <w:tcW w:w="1245" w:type="dxa"/>
            <w:vAlign w:val="center"/>
          </w:tcPr>
          <w:p w14:paraId="510CA970"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1</w:t>
            </w:r>
          </w:p>
        </w:tc>
        <w:tc>
          <w:tcPr>
            <w:tcW w:w="2086" w:type="dxa"/>
            <w:vAlign w:val="center"/>
          </w:tcPr>
          <w:p w14:paraId="6DCD1FE0" w14:textId="7F17DB1C"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 xml:space="preserve">Case </w:t>
            </w:r>
            <w:r w:rsidR="000D2FA0">
              <w:rPr>
                <w:rFonts w:ascii="Times New Roman" w:hAnsi="Times New Roman" w:cs="Times New Roman"/>
                <w:noProof/>
                <w:sz w:val="20"/>
                <w:szCs w:val="20"/>
              </w:rPr>
              <w:t>s</w:t>
            </w:r>
            <w:r w:rsidR="000D2FA0" w:rsidRPr="00575CC5">
              <w:rPr>
                <w:rFonts w:ascii="Times New Roman" w:hAnsi="Times New Roman" w:cs="Times New Roman"/>
                <w:noProof/>
                <w:sz w:val="20"/>
                <w:szCs w:val="20"/>
              </w:rPr>
              <w:t xml:space="preserve">tudy </w:t>
            </w:r>
            <w:r w:rsidR="000D2FA0">
              <w:rPr>
                <w:rFonts w:ascii="Times New Roman" w:hAnsi="Times New Roman" w:cs="Times New Roman"/>
                <w:noProof/>
                <w:sz w:val="20"/>
                <w:szCs w:val="20"/>
              </w:rPr>
              <w:t>i</w:t>
            </w:r>
            <w:r w:rsidRPr="00575CC5">
              <w:rPr>
                <w:rFonts w:ascii="Times New Roman" w:hAnsi="Times New Roman" w:cs="Times New Roman"/>
                <w:noProof/>
                <w:sz w:val="20"/>
                <w:szCs w:val="20"/>
              </w:rPr>
              <w:t>nterview</w:t>
            </w:r>
          </w:p>
        </w:tc>
        <w:tc>
          <w:tcPr>
            <w:tcW w:w="1950" w:type="dxa"/>
            <w:vAlign w:val="center"/>
          </w:tcPr>
          <w:p w14:paraId="714CCDAE" w14:textId="77777777" w:rsidR="00C87C82" w:rsidRPr="00575CC5" w:rsidRDefault="00C87C82">
            <w:pPr>
              <w:spacing w:line="276" w:lineRule="auto"/>
              <w:contextualSpacing/>
              <w:jc w:val="center"/>
              <w:rPr>
                <w:rFonts w:ascii="Times New Roman" w:hAnsi="Times New Roman" w:cs="Times New Roman"/>
                <w:noProof/>
                <w:sz w:val="20"/>
                <w:szCs w:val="20"/>
              </w:rPr>
            </w:pPr>
            <w:r w:rsidRPr="00575CC5">
              <w:rPr>
                <w:rFonts w:ascii="Times New Roman" w:hAnsi="Times New Roman" w:cs="Times New Roman"/>
                <w:noProof/>
                <w:sz w:val="20"/>
                <w:szCs w:val="20"/>
              </w:rPr>
              <w:t>28/5/2024</w:t>
            </w:r>
          </w:p>
        </w:tc>
      </w:tr>
    </w:tbl>
    <w:p w14:paraId="62583B01" w14:textId="77777777" w:rsidR="00C87C82" w:rsidRPr="00575CC5" w:rsidRDefault="00C87C82" w:rsidP="00C87C82">
      <w:pPr>
        <w:rPr>
          <w:rFonts w:ascii="Times New Roman" w:hAnsi="Times New Roman" w:cs="Times New Roman"/>
          <w:noProof/>
          <w:szCs w:val="24"/>
        </w:rPr>
      </w:pPr>
    </w:p>
    <w:p w14:paraId="1CA3DB62" w14:textId="77777777" w:rsidR="00C87C82" w:rsidRPr="00575CC5" w:rsidRDefault="00C87C82" w:rsidP="008A47B8">
      <w:pPr>
        <w:pStyle w:val="Heading2"/>
        <w:rPr>
          <w:noProof/>
          <w:lang w:val="en-IE"/>
        </w:rPr>
      </w:pPr>
      <w:bookmarkStart w:id="103" w:name="_Toc223439285"/>
      <w:r w:rsidRPr="00575CC5">
        <w:rPr>
          <w:noProof/>
        </w:rPr>
        <w:t>Interviews (and written contributions) for case studies</w:t>
      </w:r>
      <w:bookmarkEnd w:id="103"/>
    </w:p>
    <w:p w14:paraId="552406C2" w14:textId="4A3BA585" w:rsidR="00C87C82" w:rsidRPr="00575CC5" w:rsidRDefault="00C87C82" w:rsidP="00161031">
      <w:pPr>
        <w:jc w:val="both"/>
        <w:rPr>
          <w:rFonts w:ascii="Times New Roman" w:hAnsi="Times New Roman" w:cs="Times New Roman"/>
          <w:noProof/>
          <w:sz w:val="24"/>
          <w:szCs w:val="28"/>
        </w:rPr>
      </w:pPr>
      <w:r w:rsidRPr="00575CC5">
        <w:rPr>
          <w:rFonts w:ascii="Times New Roman" w:hAnsi="Times New Roman" w:cs="Times New Roman"/>
          <w:noProof/>
          <w:sz w:val="24"/>
          <w:szCs w:val="28"/>
        </w:rPr>
        <w:t xml:space="preserve">The purpose of these interviews was to hold in-depth discussions on specific topics identified for the three case studies with stakeholders with practical, operational / field experience </w:t>
      </w:r>
      <w:r w:rsidR="009E4C19">
        <w:rPr>
          <w:rFonts w:ascii="Times New Roman" w:hAnsi="Times New Roman" w:cs="Times New Roman"/>
          <w:noProof/>
          <w:sz w:val="24"/>
          <w:szCs w:val="28"/>
        </w:rPr>
        <w:t>in the fields covered by</w:t>
      </w:r>
      <w:r w:rsidRPr="00575CC5">
        <w:rPr>
          <w:rFonts w:ascii="Times New Roman" w:hAnsi="Times New Roman" w:cs="Times New Roman"/>
          <w:noProof/>
          <w:sz w:val="24"/>
          <w:szCs w:val="28"/>
        </w:rPr>
        <w:t xml:space="preserve"> the case studies. These interviews included representatives of national authorities identified through the EMPACT network (e.g., DE, EE, FR, LV, IS), representatives of the European Union Agency for Law Enforcement Cooperation (Europol) and representatives of DG NEAR and EU </w:t>
      </w:r>
      <w:r w:rsidR="009E4C19">
        <w:rPr>
          <w:rFonts w:ascii="Times New Roman" w:hAnsi="Times New Roman" w:cs="Times New Roman"/>
          <w:noProof/>
          <w:sz w:val="24"/>
          <w:szCs w:val="28"/>
        </w:rPr>
        <w:t>d</w:t>
      </w:r>
      <w:r w:rsidR="009E4C19" w:rsidRPr="00575CC5">
        <w:rPr>
          <w:rFonts w:ascii="Times New Roman" w:hAnsi="Times New Roman" w:cs="Times New Roman"/>
          <w:noProof/>
          <w:sz w:val="24"/>
          <w:szCs w:val="28"/>
        </w:rPr>
        <w:t xml:space="preserve">elegations </w:t>
      </w:r>
      <w:r w:rsidRPr="00575CC5">
        <w:rPr>
          <w:rFonts w:ascii="Times New Roman" w:hAnsi="Times New Roman" w:cs="Times New Roman"/>
          <w:noProof/>
          <w:sz w:val="24"/>
          <w:szCs w:val="28"/>
        </w:rPr>
        <w:t xml:space="preserve">in accession countries. </w:t>
      </w:r>
    </w:p>
    <w:p w14:paraId="6224173E" w14:textId="77777777" w:rsidR="00C87C82" w:rsidRPr="00575CC5" w:rsidRDefault="00C87C82" w:rsidP="008A47B8">
      <w:pPr>
        <w:pStyle w:val="Heading2"/>
        <w:rPr>
          <w:noProof/>
          <w:lang w:val="en-IE"/>
        </w:rPr>
      </w:pPr>
      <w:bookmarkStart w:id="104" w:name="_Toc223439286"/>
      <w:r w:rsidRPr="00575CC5">
        <w:rPr>
          <w:noProof/>
        </w:rPr>
        <w:t>Online surveys</w:t>
      </w:r>
      <w:bookmarkEnd w:id="104"/>
    </w:p>
    <w:p w14:paraId="50DAA7D4" w14:textId="32F95DA8" w:rsidR="002D284B" w:rsidRDefault="00C87C82" w:rsidP="00161031">
      <w:pPr>
        <w:jc w:val="both"/>
        <w:rPr>
          <w:rFonts w:ascii="Times New Roman" w:hAnsi="Times New Roman" w:cs="Times New Roman"/>
          <w:noProof/>
          <w:sz w:val="24"/>
          <w:szCs w:val="28"/>
        </w:rPr>
      </w:pPr>
      <w:r w:rsidRPr="00575CC5">
        <w:rPr>
          <w:rFonts w:ascii="Times New Roman" w:hAnsi="Times New Roman" w:cs="Times New Roman"/>
          <w:noProof/>
          <w:sz w:val="24"/>
          <w:szCs w:val="28"/>
        </w:rPr>
        <w:t xml:space="preserve">Twelve online surveys </w:t>
      </w:r>
      <w:r w:rsidR="009E4C19">
        <w:rPr>
          <w:rFonts w:ascii="Times New Roman" w:hAnsi="Times New Roman" w:cs="Times New Roman"/>
          <w:noProof/>
          <w:sz w:val="24"/>
          <w:szCs w:val="28"/>
        </w:rPr>
        <w:t>were</w:t>
      </w:r>
      <w:r w:rsidRPr="00575CC5">
        <w:rPr>
          <w:rFonts w:ascii="Times New Roman" w:hAnsi="Times New Roman" w:cs="Times New Roman"/>
          <w:noProof/>
          <w:sz w:val="24"/>
          <w:szCs w:val="28"/>
        </w:rPr>
        <w:t xml:space="preserve"> developed to gather insights for the </w:t>
      </w:r>
      <w:r w:rsidR="009E4C19">
        <w:rPr>
          <w:rFonts w:ascii="Times New Roman" w:hAnsi="Times New Roman" w:cs="Times New Roman"/>
          <w:noProof/>
          <w:sz w:val="24"/>
          <w:szCs w:val="28"/>
        </w:rPr>
        <w:t>e</w:t>
      </w:r>
      <w:r w:rsidR="009E4C19" w:rsidRPr="00575CC5">
        <w:rPr>
          <w:rFonts w:ascii="Times New Roman" w:hAnsi="Times New Roman" w:cs="Times New Roman"/>
          <w:noProof/>
          <w:sz w:val="24"/>
          <w:szCs w:val="28"/>
        </w:rPr>
        <w:t xml:space="preserve">valuation </w:t>
      </w:r>
      <w:r w:rsidRPr="00575CC5">
        <w:rPr>
          <w:rFonts w:ascii="Times New Roman" w:hAnsi="Times New Roman" w:cs="Times New Roman"/>
          <w:noProof/>
          <w:sz w:val="24"/>
          <w:szCs w:val="28"/>
        </w:rPr>
        <w:t xml:space="preserve">of Directive (EU) 2018/1673, targeting four distinct groups. Four surveys were specifically tailored </w:t>
      </w:r>
      <w:r w:rsidR="009E4C19">
        <w:rPr>
          <w:rFonts w:ascii="Times New Roman" w:hAnsi="Times New Roman" w:cs="Times New Roman"/>
          <w:noProof/>
          <w:sz w:val="24"/>
          <w:szCs w:val="28"/>
        </w:rPr>
        <w:t>to</w:t>
      </w:r>
      <w:r w:rsidR="009E4C19"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national authorities of the Member States, including </w:t>
      </w:r>
      <w:r w:rsidR="00B0326F">
        <w:rPr>
          <w:rFonts w:ascii="Times New Roman" w:hAnsi="Times New Roman" w:cs="Times New Roman"/>
          <w:noProof/>
          <w:sz w:val="24"/>
          <w:szCs w:val="28"/>
        </w:rPr>
        <w:t>j</w:t>
      </w:r>
      <w:r w:rsidR="00B0326F" w:rsidRPr="00575CC5">
        <w:rPr>
          <w:rFonts w:ascii="Times New Roman" w:hAnsi="Times New Roman" w:cs="Times New Roman"/>
          <w:noProof/>
          <w:sz w:val="24"/>
          <w:szCs w:val="28"/>
        </w:rPr>
        <w:t xml:space="preserve">udicial </w:t>
      </w:r>
      <w:r w:rsidRPr="00575CC5">
        <w:rPr>
          <w:rFonts w:ascii="Times New Roman" w:hAnsi="Times New Roman" w:cs="Times New Roman"/>
          <w:noProof/>
          <w:sz w:val="24"/>
          <w:szCs w:val="28"/>
        </w:rPr>
        <w:t xml:space="preserve">authorities, </w:t>
      </w:r>
      <w:r w:rsidR="00B0326F">
        <w:rPr>
          <w:rFonts w:ascii="Times New Roman" w:hAnsi="Times New Roman" w:cs="Times New Roman"/>
          <w:noProof/>
          <w:sz w:val="24"/>
          <w:szCs w:val="28"/>
        </w:rPr>
        <w:t>l</w:t>
      </w:r>
      <w:r w:rsidRPr="00575CC5">
        <w:rPr>
          <w:rFonts w:ascii="Times New Roman" w:hAnsi="Times New Roman" w:cs="Times New Roman"/>
          <w:noProof/>
          <w:sz w:val="24"/>
          <w:szCs w:val="28"/>
        </w:rPr>
        <w:t xml:space="preserve">aw </w:t>
      </w:r>
      <w:r w:rsidR="00B0326F">
        <w:rPr>
          <w:rFonts w:ascii="Times New Roman" w:hAnsi="Times New Roman" w:cs="Times New Roman"/>
          <w:noProof/>
          <w:sz w:val="24"/>
          <w:szCs w:val="28"/>
        </w:rPr>
        <w:t>e</w:t>
      </w:r>
      <w:r w:rsidRPr="00575CC5">
        <w:rPr>
          <w:rFonts w:ascii="Times New Roman" w:hAnsi="Times New Roman" w:cs="Times New Roman"/>
          <w:noProof/>
          <w:sz w:val="24"/>
          <w:szCs w:val="28"/>
        </w:rPr>
        <w:t xml:space="preserve">nforcement authorities, Asset Recovery Offices, and Financial Intelligence Units. Additionally, six surveys were designed for various EU bodies such as </w:t>
      </w:r>
      <w:r w:rsidR="009E4C19">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European Union Agency for Law Enforcement Cooperation (Europol), </w:t>
      </w:r>
      <w:r w:rsidR="0075128F">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European Union Agency for Criminal Justice Cooperation (Eurojust), </w:t>
      </w:r>
      <w:r w:rsidR="0075128F">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European Multidisciplinary Platform Against Criminal Threats (EMPACT), </w:t>
      </w:r>
      <w:r w:rsidR="0075128F">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European Public Prosecutor’s Office (EPPO),</w:t>
      </w:r>
      <w:r w:rsidR="0075128F">
        <w:rPr>
          <w:rFonts w:ascii="Times New Roman" w:hAnsi="Times New Roman" w:cs="Times New Roman"/>
          <w:noProof/>
          <w:sz w:val="24"/>
          <w:szCs w:val="28"/>
        </w:rPr>
        <w:t xml:space="preserve"> the</w:t>
      </w:r>
      <w:r w:rsidRPr="00575CC5">
        <w:rPr>
          <w:rFonts w:ascii="Times New Roman" w:hAnsi="Times New Roman" w:cs="Times New Roman"/>
          <w:noProof/>
          <w:sz w:val="24"/>
          <w:szCs w:val="28"/>
        </w:rPr>
        <w:t xml:space="preserve"> European Banking Authority, and </w:t>
      </w:r>
      <w:r w:rsidR="0075128F">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European Union Agency for Fundamental Rights (FRA). One survey was </w:t>
      </w:r>
      <w:r w:rsidR="00872B1C">
        <w:rPr>
          <w:rFonts w:ascii="Times New Roman" w:hAnsi="Times New Roman" w:cs="Times New Roman"/>
          <w:noProof/>
          <w:sz w:val="24"/>
          <w:szCs w:val="28"/>
        </w:rPr>
        <w:t>targeted at</w:t>
      </w:r>
      <w:r w:rsidRPr="00575CC5">
        <w:rPr>
          <w:rFonts w:ascii="Times New Roman" w:hAnsi="Times New Roman" w:cs="Times New Roman"/>
          <w:noProof/>
          <w:sz w:val="24"/>
          <w:szCs w:val="28"/>
        </w:rPr>
        <w:t xml:space="preserve"> key international stakeholders in AML, including </w:t>
      </w:r>
      <w:r w:rsidR="00872B1C">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United Nations Office on Drugs and Crime (UNODC), </w:t>
      </w:r>
      <w:r w:rsidR="00872B1C">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Financial Action Task Force (FATF), </w:t>
      </w:r>
      <w:r w:rsidR="00872B1C">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 xml:space="preserve">Committee of Experts on the Evaluation of Anti-Money Laundering Measures and the Financing of Terrorism (Moneyval), and </w:t>
      </w:r>
      <w:r w:rsidR="00872B1C">
        <w:rPr>
          <w:rFonts w:ascii="Times New Roman" w:hAnsi="Times New Roman" w:cs="Times New Roman"/>
          <w:noProof/>
          <w:sz w:val="24"/>
          <w:szCs w:val="28"/>
        </w:rPr>
        <w:t xml:space="preserve">the </w:t>
      </w:r>
      <w:r w:rsidRPr="00575CC5">
        <w:rPr>
          <w:rFonts w:ascii="Times New Roman" w:hAnsi="Times New Roman" w:cs="Times New Roman"/>
          <w:noProof/>
          <w:sz w:val="24"/>
          <w:szCs w:val="28"/>
        </w:rPr>
        <w:t>International Criminal Police Organisation (</w:t>
      </w:r>
      <w:r w:rsidR="00872B1C">
        <w:rPr>
          <w:rFonts w:ascii="Times New Roman" w:hAnsi="Times New Roman" w:cs="Times New Roman"/>
          <w:noProof/>
          <w:sz w:val="24"/>
          <w:szCs w:val="28"/>
        </w:rPr>
        <w:t>INTERPOL</w:t>
      </w:r>
      <w:r w:rsidRPr="00575CC5">
        <w:rPr>
          <w:rFonts w:ascii="Times New Roman" w:hAnsi="Times New Roman" w:cs="Times New Roman"/>
          <w:noProof/>
          <w:sz w:val="24"/>
          <w:szCs w:val="28"/>
        </w:rPr>
        <w:t xml:space="preserve">), while another survey was aimed at specialised European </w:t>
      </w:r>
      <w:r w:rsidR="002D284B">
        <w:rPr>
          <w:rFonts w:ascii="Times New Roman" w:hAnsi="Times New Roman" w:cs="Times New Roman"/>
          <w:noProof/>
          <w:sz w:val="24"/>
          <w:szCs w:val="28"/>
        </w:rPr>
        <w:t>a</w:t>
      </w:r>
      <w:r w:rsidR="002D284B" w:rsidRPr="00575CC5">
        <w:rPr>
          <w:rFonts w:ascii="Times New Roman" w:hAnsi="Times New Roman" w:cs="Times New Roman"/>
          <w:noProof/>
          <w:sz w:val="24"/>
          <w:szCs w:val="28"/>
        </w:rPr>
        <w:t>ssociations</w:t>
      </w:r>
      <w:r w:rsidRPr="00575CC5">
        <w:rPr>
          <w:rFonts w:ascii="Times New Roman" w:hAnsi="Times New Roman" w:cs="Times New Roman"/>
          <w:noProof/>
          <w:sz w:val="24"/>
          <w:szCs w:val="28"/>
        </w:rPr>
        <w:t xml:space="preserve">, think tanks, and </w:t>
      </w:r>
      <w:r w:rsidR="002D284B">
        <w:rPr>
          <w:rFonts w:ascii="Times New Roman" w:hAnsi="Times New Roman" w:cs="Times New Roman"/>
          <w:noProof/>
          <w:sz w:val="24"/>
          <w:szCs w:val="28"/>
        </w:rPr>
        <w:t>n</w:t>
      </w:r>
      <w:r w:rsidR="002D284B" w:rsidRPr="00575CC5">
        <w:rPr>
          <w:rFonts w:ascii="Times New Roman" w:hAnsi="Times New Roman" w:cs="Times New Roman"/>
          <w:noProof/>
          <w:sz w:val="24"/>
          <w:szCs w:val="28"/>
        </w:rPr>
        <w:t>on</w:t>
      </w:r>
      <w:r w:rsidRPr="00575CC5">
        <w:rPr>
          <w:rFonts w:ascii="Times New Roman" w:hAnsi="Times New Roman" w:cs="Times New Roman"/>
          <w:noProof/>
          <w:sz w:val="24"/>
          <w:szCs w:val="28"/>
        </w:rPr>
        <w:t>-</w:t>
      </w:r>
      <w:r w:rsidR="002D284B">
        <w:rPr>
          <w:rFonts w:ascii="Times New Roman" w:hAnsi="Times New Roman" w:cs="Times New Roman"/>
          <w:noProof/>
          <w:sz w:val="24"/>
          <w:szCs w:val="28"/>
        </w:rPr>
        <w:t>g</w:t>
      </w:r>
      <w:r w:rsidRPr="00575CC5">
        <w:rPr>
          <w:rFonts w:ascii="Times New Roman" w:hAnsi="Times New Roman" w:cs="Times New Roman"/>
          <w:noProof/>
          <w:sz w:val="24"/>
          <w:szCs w:val="28"/>
        </w:rPr>
        <w:t xml:space="preserve">overnmental </w:t>
      </w:r>
      <w:r w:rsidR="002D284B">
        <w:rPr>
          <w:rFonts w:ascii="Times New Roman" w:hAnsi="Times New Roman" w:cs="Times New Roman"/>
          <w:noProof/>
          <w:sz w:val="24"/>
          <w:szCs w:val="28"/>
        </w:rPr>
        <w:t>o</w:t>
      </w:r>
      <w:r w:rsidRPr="00575CC5">
        <w:rPr>
          <w:rFonts w:ascii="Times New Roman" w:hAnsi="Times New Roman" w:cs="Times New Roman"/>
          <w:noProof/>
          <w:sz w:val="24"/>
          <w:szCs w:val="28"/>
        </w:rPr>
        <w:t>rganisations (NGOs).</w:t>
      </w:r>
    </w:p>
    <w:p w14:paraId="1D9C8C67" w14:textId="48F8A6C5" w:rsidR="00C87C82" w:rsidRPr="00575CC5" w:rsidRDefault="00C87C82" w:rsidP="00161031">
      <w:pPr>
        <w:jc w:val="both"/>
        <w:rPr>
          <w:rFonts w:ascii="Times New Roman" w:hAnsi="Times New Roman" w:cs="Times New Roman"/>
          <w:noProof/>
          <w:sz w:val="24"/>
          <w:szCs w:val="28"/>
        </w:rPr>
      </w:pPr>
      <w:r w:rsidRPr="00575CC5">
        <w:rPr>
          <w:rFonts w:ascii="Times New Roman" w:hAnsi="Times New Roman" w:cs="Times New Roman"/>
          <w:noProof/>
          <w:sz w:val="24"/>
          <w:szCs w:val="28"/>
        </w:rPr>
        <w:t>The survey</w:t>
      </w:r>
      <w:r w:rsidR="002D284B">
        <w:rPr>
          <w:rFonts w:ascii="Times New Roman" w:hAnsi="Times New Roman" w:cs="Times New Roman"/>
          <w:noProof/>
          <w:sz w:val="24"/>
          <w:szCs w:val="28"/>
        </w:rPr>
        <w:t>s</w:t>
      </w:r>
      <w:r w:rsidRPr="00575CC5">
        <w:rPr>
          <w:rFonts w:ascii="Times New Roman" w:hAnsi="Times New Roman" w:cs="Times New Roman"/>
          <w:noProof/>
          <w:sz w:val="24"/>
          <w:szCs w:val="28"/>
        </w:rPr>
        <w:t xml:space="preserve"> w</w:t>
      </w:r>
      <w:r w:rsidR="002D284B">
        <w:rPr>
          <w:rFonts w:ascii="Times New Roman" w:hAnsi="Times New Roman" w:cs="Times New Roman"/>
          <w:noProof/>
          <w:sz w:val="24"/>
          <w:szCs w:val="28"/>
        </w:rPr>
        <w:t>ere</w:t>
      </w:r>
      <w:r w:rsidR="00A93FBE">
        <w:rPr>
          <w:rFonts w:ascii="Times New Roman" w:hAnsi="Times New Roman" w:cs="Times New Roman"/>
          <w:noProof/>
          <w:sz w:val="24"/>
          <w:szCs w:val="28"/>
        </w:rPr>
        <w:t xml:space="preserve"> </w:t>
      </w:r>
      <w:r w:rsidRPr="00575CC5">
        <w:rPr>
          <w:rFonts w:ascii="Times New Roman" w:hAnsi="Times New Roman" w:cs="Times New Roman"/>
          <w:noProof/>
          <w:sz w:val="24"/>
          <w:szCs w:val="28"/>
        </w:rPr>
        <w:t>distributed online to each stakeholder category via the EU Survey platform. The response rate was low, but feedback indicate</w:t>
      </w:r>
      <w:r w:rsidR="002D284B">
        <w:rPr>
          <w:rFonts w:ascii="Times New Roman" w:hAnsi="Times New Roman" w:cs="Times New Roman"/>
          <w:noProof/>
          <w:sz w:val="24"/>
          <w:szCs w:val="28"/>
        </w:rPr>
        <w:t>d</w:t>
      </w:r>
      <w:r w:rsidRPr="00575CC5">
        <w:rPr>
          <w:rFonts w:ascii="Times New Roman" w:hAnsi="Times New Roman" w:cs="Times New Roman"/>
          <w:noProof/>
          <w:sz w:val="24"/>
          <w:szCs w:val="28"/>
        </w:rPr>
        <w:t xml:space="preserve"> that stakeholders require additional time to gather pertinent information or </w:t>
      </w:r>
      <w:r w:rsidR="002D284B">
        <w:rPr>
          <w:rFonts w:ascii="Times New Roman" w:hAnsi="Times New Roman" w:cs="Times New Roman"/>
          <w:noProof/>
          <w:sz w:val="24"/>
          <w:szCs w:val="28"/>
        </w:rPr>
        <w:t>could</w:t>
      </w:r>
      <w:r w:rsidR="002D284B"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be unable to address all survey questions, </w:t>
      </w:r>
      <w:r w:rsidR="002D284B">
        <w:rPr>
          <w:rFonts w:ascii="Times New Roman" w:hAnsi="Times New Roman" w:cs="Times New Roman"/>
          <w:noProof/>
          <w:sz w:val="24"/>
          <w:szCs w:val="28"/>
        </w:rPr>
        <w:t>so</w:t>
      </w:r>
      <w:r w:rsidRPr="00575CC5">
        <w:rPr>
          <w:rFonts w:ascii="Times New Roman" w:hAnsi="Times New Roman" w:cs="Times New Roman"/>
          <w:noProof/>
          <w:sz w:val="24"/>
          <w:szCs w:val="28"/>
        </w:rPr>
        <w:t xml:space="preserve"> adjustments</w:t>
      </w:r>
      <w:r w:rsidR="002D284B">
        <w:rPr>
          <w:rFonts w:ascii="Times New Roman" w:hAnsi="Times New Roman" w:cs="Times New Roman"/>
          <w:noProof/>
          <w:sz w:val="24"/>
          <w:szCs w:val="28"/>
        </w:rPr>
        <w:t xml:space="preserve"> were made</w:t>
      </w:r>
      <w:r w:rsidRPr="00575CC5">
        <w:rPr>
          <w:rFonts w:ascii="Times New Roman" w:hAnsi="Times New Roman" w:cs="Times New Roman"/>
          <w:noProof/>
          <w:sz w:val="24"/>
          <w:szCs w:val="28"/>
        </w:rPr>
        <w:t xml:space="preserve">. Following consultation with DG HOME, survey questions </w:t>
      </w:r>
      <w:r w:rsidR="002D284B">
        <w:rPr>
          <w:rFonts w:ascii="Times New Roman" w:hAnsi="Times New Roman" w:cs="Times New Roman"/>
          <w:noProof/>
          <w:sz w:val="24"/>
          <w:szCs w:val="28"/>
        </w:rPr>
        <w:t xml:space="preserve">were switched </w:t>
      </w:r>
      <w:r w:rsidRPr="00575CC5">
        <w:rPr>
          <w:rFonts w:ascii="Times New Roman" w:hAnsi="Times New Roman" w:cs="Times New Roman"/>
          <w:noProof/>
          <w:sz w:val="24"/>
          <w:szCs w:val="28"/>
        </w:rPr>
        <w:t xml:space="preserve">from mandatory to optional for several stakeholder categories, allowing for partial input where feasible. Moreover, recognising the time constraints and difficulties faced by stakeholders in responding comprehensively, dedicated individual consultations </w:t>
      </w:r>
      <w:r w:rsidR="002D284B">
        <w:rPr>
          <w:rFonts w:ascii="Times New Roman" w:hAnsi="Times New Roman" w:cs="Times New Roman"/>
          <w:noProof/>
          <w:sz w:val="24"/>
          <w:szCs w:val="28"/>
        </w:rPr>
        <w:t xml:space="preserve">were put in place </w:t>
      </w:r>
      <w:r w:rsidRPr="00575CC5">
        <w:rPr>
          <w:rFonts w:ascii="Times New Roman" w:hAnsi="Times New Roman" w:cs="Times New Roman"/>
          <w:noProof/>
          <w:sz w:val="24"/>
          <w:szCs w:val="28"/>
        </w:rPr>
        <w:t xml:space="preserve">to accommodate </w:t>
      </w:r>
      <w:r w:rsidR="002D284B">
        <w:rPr>
          <w:rFonts w:ascii="Times New Roman" w:hAnsi="Times New Roman" w:cs="Times New Roman"/>
          <w:noProof/>
          <w:sz w:val="24"/>
          <w:szCs w:val="28"/>
        </w:rPr>
        <w:t>stakeholders’</w:t>
      </w:r>
      <w:r w:rsidR="002D284B"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needs (</w:t>
      </w:r>
      <w:r w:rsidRPr="00F02686">
        <w:rPr>
          <w:rFonts w:ascii="Times New Roman" w:hAnsi="Times New Roman" w:cs="Times New Roman"/>
          <w:noProof/>
          <w:sz w:val="24"/>
          <w:szCs w:val="28"/>
        </w:rPr>
        <w:t>ad hoc</w:t>
      </w:r>
      <w:r w:rsidRPr="00575CC5">
        <w:rPr>
          <w:rFonts w:ascii="Times New Roman" w:hAnsi="Times New Roman" w:cs="Times New Roman"/>
          <w:noProof/>
          <w:sz w:val="24"/>
          <w:szCs w:val="28"/>
        </w:rPr>
        <w:t xml:space="preserve"> interviews).</w:t>
      </w:r>
    </w:p>
    <w:p w14:paraId="19C30DF5" w14:textId="4771EF0F" w:rsidR="00C87C82" w:rsidRPr="00575CC5" w:rsidRDefault="00C87C82" w:rsidP="00161031">
      <w:pPr>
        <w:jc w:val="both"/>
        <w:rPr>
          <w:rFonts w:ascii="Times New Roman" w:hAnsi="Times New Roman" w:cs="Times New Roman"/>
          <w:noProof/>
          <w:sz w:val="24"/>
          <w:szCs w:val="28"/>
        </w:rPr>
      </w:pPr>
      <w:r w:rsidRPr="00575CC5">
        <w:rPr>
          <w:rFonts w:ascii="Times New Roman" w:hAnsi="Times New Roman" w:cs="Times New Roman"/>
          <w:noProof/>
          <w:sz w:val="24"/>
          <w:szCs w:val="28"/>
        </w:rPr>
        <w:t xml:space="preserve">Responses were received from various national authorities: 6 judicial authorities, 13 law enforcement authorities, 11 </w:t>
      </w:r>
      <w:r w:rsidR="00B4125D">
        <w:rPr>
          <w:rFonts w:ascii="Times New Roman" w:hAnsi="Times New Roman" w:cs="Times New Roman"/>
          <w:noProof/>
          <w:sz w:val="24"/>
          <w:szCs w:val="28"/>
        </w:rPr>
        <w:t>F</w:t>
      </w:r>
      <w:r w:rsidRPr="00575CC5">
        <w:rPr>
          <w:rFonts w:ascii="Times New Roman" w:hAnsi="Times New Roman" w:cs="Times New Roman"/>
          <w:noProof/>
          <w:sz w:val="24"/>
          <w:szCs w:val="28"/>
        </w:rPr>
        <w:t xml:space="preserve">inancial </w:t>
      </w:r>
      <w:r w:rsidR="00B4125D">
        <w:rPr>
          <w:rFonts w:ascii="Times New Roman" w:hAnsi="Times New Roman" w:cs="Times New Roman"/>
          <w:noProof/>
          <w:sz w:val="24"/>
          <w:szCs w:val="28"/>
        </w:rPr>
        <w:t>I</w:t>
      </w:r>
      <w:r w:rsidRPr="00575CC5">
        <w:rPr>
          <w:rFonts w:ascii="Times New Roman" w:hAnsi="Times New Roman" w:cs="Times New Roman"/>
          <w:noProof/>
          <w:sz w:val="24"/>
          <w:szCs w:val="28"/>
        </w:rPr>
        <w:t xml:space="preserve">ntelligence </w:t>
      </w:r>
      <w:r w:rsidR="00B4125D">
        <w:rPr>
          <w:rFonts w:ascii="Times New Roman" w:hAnsi="Times New Roman" w:cs="Times New Roman"/>
          <w:noProof/>
          <w:sz w:val="24"/>
          <w:szCs w:val="28"/>
        </w:rPr>
        <w:t>U</w:t>
      </w:r>
      <w:r w:rsidRPr="00575CC5">
        <w:rPr>
          <w:rFonts w:ascii="Times New Roman" w:hAnsi="Times New Roman" w:cs="Times New Roman"/>
          <w:noProof/>
          <w:sz w:val="24"/>
          <w:szCs w:val="28"/>
        </w:rPr>
        <w:t xml:space="preserve">nits, and 8 </w:t>
      </w:r>
      <w:r w:rsidR="00B4125D">
        <w:rPr>
          <w:rFonts w:ascii="Times New Roman" w:hAnsi="Times New Roman" w:cs="Times New Roman"/>
          <w:noProof/>
          <w:sz w:val="24"/>
          <w:szCs w:val="28"/>
        </w:rPr>
        <w:t>A</w:t>
      </w:r>
      <w:r w:rsidR="00B4125D" w:rsidRPr="00575CC5">
        <w:rPr>
          <w:rFonts w:ascii="Times New Roman" w:hAnsi="Times New Roman" w:cs="Times New Roman"/>
          <w:noProof/>
          <w:sz w:val="24"/>
          <w:szCs w:val="28"/>
        </w:rPr>
        <w:t xml:space="preserve">sset </w:t>
      </w:r>
      <w:r w:rsidR="00B4125D">
        <w:rPr>
          <w:rFonts w:ascii="Times New Roman" w:hAnsi="Times New Roman" w:cs="Times New Roman"/>
          <w:noProof/>
          <w:sz w:val="24"/>
          <w:szCs w:val="28"/>
        </w:rPr>
        <w:t>R</w:t>
      </w:r>
      <w:r w:rsidRPr="00575CC5">
        <w:rPr>
          <w:rFonts w:ascii="Times New Roman" w:hAnsi="Times New Roman" w:cs="Times New Roman"/>
          <w:noProof/>
          <w:sz w:val="24"/>
          <w:szCs w:val="28"/>
        </w:rPr>
        <w:t xml:space="preserve">ecovery </w:t>
      </w:r>
      <w:r w:rsidR="00B4125D">
        <w:rPr>
          <w:rFonts w:ascii="Times New Roman" w:hAnsi="Times New Roman" w:cs="Times New Roman"/>
          <w:noProof/>
          <w:sz w:val="24"/>
          <w:szCs w:val="28"/>
        </w:rPr>
        <w:t>O</w:t>
      </w:r>
      <w:r w:rsidRPr="00575CC5">
        <w:rPr>
          <w:rFonts w:ascii="Times New Roman" w:hAnsi="Times New Roman" w:cs="Times New Roman"/>
          <w:noProof/>
          <w:sz w:val="24"/>
          <w:szCs w:val="28"/>
        </w:rPr>
        <w:t xml:space="preserve">ffices. External stakeholders also contributed, with submissions from </w:t>
      </w:r>
      <w:r w:rsidR="00B4125D">
        <w:rPr>
          <w:rFonts w:ascii="Times New Roman" w:hAnsi="Times New Roman" w:cs="Times New Roman"/>
          <w:noProof/>
          <w:sz w:val="24"/>
          <w:szCs w:val="28"/>
        </w:rPr>
        <w:t>three</w:t>
      </w:r>
      <w:r w:rsidR="00B4125D"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EU bodies, </w:t>
      </w:r>
      <w:r w:rsidR="00B4125D">
        <w:rPr>
          <w:rFonts w:ascii="Times New Roman" w:hAnsi="Times New Roman" w:cs="Times New Roman"/>
          <w:noProof/>
          <w:sz w:val="24"/>
          <w:szCs w:val="28"/>
        </w:rPr>
        <w:t>two</w:t>
      </w:r>
      <w:r w:rsidR="00B4125D"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NGOs/Think-tanks/professional associations, and </w:t>
      </w:r>
      <w:r w:rsidR="00B4125D">
        <w:rPr>
          <w:rFonts w:ascii="Times New Roman" w:hAnsi="Times New Roman" w:cs="Times New Roman"/>
          <w:noProof/>
          <w:sz w:val="24"/>
          <w:szCs w:val="28"/>
        </w:rPr>
        <w:t>one</w:t>
      </w:r>
      <w:r w:rsidR="00B4125D"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International Organisation. Additionally, we have conducted individual consultations with </w:t>
      </w:r>
      <w:r w:rsidR="00B4125D">
        <w:rPr>
          <w:rFonts w:ascii="Times New Roman" w:hAnsi="Times New Roman" w:cs="Times New Roman"/>
          <w:noProof/>
          <w:sz w:val="24"/>
          <w:szCs w:val="28"/>
        </w:rPr>
        <w:t>three</w:t>
      </w:r>
      <w:r w:rsidR="00B4125D"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 xml:space="preserve">professional associations and </w:t>
      </w:r>
      <w:r w:rsidR="008C2F6B">
        <w:rPr>
          <w:rFonts w:ascii="Times New Roman" w:hAnsi="Times New Roman" w:cs="Times New Roman"/>
          <w:noProof/>
          <w:sz w:val="24"/>
          <w:szCs w:val="28"/>
        </w:rPr>
        <w:t>one</w:t>
      </w:r>
      <w:r w:rsidR="008C2F6B" w:rsidRPr="00575CC5">
        <w:rPr>
          <w:rFonts w:ascii="Times New Roman" w:hAnsi="Times New Roman" w:cs="Times New Roman"/>
          <w:noProof/>
          <w:sz w:val="24"/>
          <w:szCs w:val="28"/>
        </w:rPr>
        <w:t xml:space="preserve"> </w:t>
      </w:r>
      <w:r w:rsidRPr="00575CC5">
        <w:rPr>
          <w:rFonts w:ascii="Times New Roman" w:hAnsi="Times New Roman" w:cs="Times New Roman"/>
          <w:noProof/>
          <w:sz w:val="24"/>
          <w:szCs w:val="28"/>
        </w:rPr>
        <w:t>EU body (</w:t>
      </w:r>
      <w:r w:rsidRPr="00F02686">
        <w:rPr>
          <w:rFonts w:ascii="Times New Roman" w:hAnsi="Times New Roman" w:cs="Times New Roman"/>
          <w:noProof/>
          <w:sz w:val="24"/>
          <w:szCs w:val="28"/>
        </w:rPr>
        <w:t>ad hoc</w:t>
      </w:r>
      <w:r w:rsidRPr="00575CC5">
        <w:rPr>
          <w:rFonts w:ascii="Times New Roman" w:hAnsi="Times New Roman" w:cs="Times New Roman"/>
          <w:noProof/>
          <w:sz w:val="24"/>
          <w:szCs w:val="28"/>
        </w:rPr>
        <w:t xml:space="preserve"> interviews).</w:t>
      </w:r>
    </w:p>
    <w:p w14:paraId="48C08ECC" w14:textId="77777777" w:rsidR="00C87C82" w:rsidRPr="00575CC5" w:rsidRDefault="00C87C82" w:rsidP="00C87C82">
      <w:pPr>
        <w:rPr>
          <w:rFonts w:ascii="Times New Roman" w:hAnsi="Times New Roman" w:cs="Times New Roman"/>
          <w:noProof/>
          <w:szCs w:val="24"/>
        </w:rPr>
      </w:pPr>
    </w:p>
    <w:p w14:paraId="1E331462" w14:textId="77777777" w:rsidR="00C87C82" w:rsidRPr="00575CC5" w:rsidRDefault="00C87C82" w:rsidP="00C87C82">
      <w:pPr>
        <w:keepNext/>
        <w:rPr>
          <w:rFonts w:ascii="Times New Roman" w:hAnsi="Times New Roman" w:cs="Times New Roman"/>
          <w:noProof/>
          <w:color w:val="F79646" w:themeColor="accent6"/>
          <w:sz w:val="17"/>
          <w:szCs w:val="17"/>
        </w:rPr>
      </w:pPr>
      <w:bookmarkStart w:id="105" w:name="_Toc176207943"/>
      <w:bookmarkStart w:id="106" w:name="_Toc178101931"/>
      <w:r w:rsidRPr="00575CC5">
        <w:rPr>
          <w:rFonts w:ascii="Times New Roman" w:hAnsi="Times New Roman" w:cs="Times New Roman"/>
          <w:noProof/>
          <w:color w:val="F79646" w:themeColor="accent6"/>
          <w:sz w:val="17"/>
          <w:szCs w:val="17"/>
        </w:rPr>
        <w:t>Overview of surveys and responses</w:t>
      </w:r>
      <w:bookmarkEnd w:id="105"/>
      <w:bookmarkEnd w:id="106"/>
    </w:p>
    <w:tbl>
      <w:tblPr>
        <w:tblStyle w:val="Deloittetable6"/>
        <w:tblW w:w="5000" w:type="pct"/>
        <w:tblLook w:val="04A0" w:firstRow="1" w:lastRow="0" w:firstColumn="1" w:lastColumn="0" w:noHBand="0" w:noVBand="1"/>
      </w:tblPr>
      <w:tblGrid>
        <w:gridCol w:w="2023"/>
        <w:gridCol w:w="5362"/>
        <w:gridCol w:w="253"/>
        <w:gridCol w:w="1196"/>
      </w:tblGrid>
      <w:tr w:rsidR="00C87C82" w:rsidRPr="00575CC5" w14:paraId="60718207" w14:textId="77777777">
        <w:trPr>
          <w:trHeight w:val="151"/>
        </w:trPr>
        <w:tc>
          <w:tcPr>
            <w:tcW w:w="1145" w:type="pct"/>
            <w:hideMark/>
          </w:tcPr>
          <w:p w14:paraId="28A1B923" w14:textId="77777777" w:rsidR="00C87C82" w:rsidRPr="00575CC5" w:rsidRDefault="00C87C82">
            <w:pPr>
              <w:spacing w:line="276" w:lineRule="auto"/>
              <w:contextualSpacing/>
              <w:rPr>
                <w:rFonts w:ascii="Times New Roman" w:hAnsi="Times New Roman" w:cs="Times New Roman"/>
                <w:b/>
                <w:bCs/>
                <w:noProof/>
              </w:rPr>
            </w:pPr>
            <w:r w:rsidRPr="00575CC5">
              <w:rPr>
                <w:rFonts w:ascii="Times New Roman" w:hAnsi="Times New Roman" w:cs="Times New Roman"/>
                <w:b/>
                <w:bCs/>
                <w:noProof/>
              </w:rPr>
              <w:t>Stakeholder Type</w:t>
            </w:r>
          </w:p>
        </w:tc>
        <w:tc>
          <w:tcPr>
            <w:tcW w:w="3035" w:type="pct"/>
            <w:hideMark/>
          </w:tcPr>
          <w:p w14:paraId="5F483CC5" w14:textId="77777777" w:rsidR="00C87C82" w:rsidRPr="00575CC5" w:rsidRDefault="00C87C82">
            <w:pPr>
              <w:spacing w:line="276" w:lineRule="auto"/>
              <w:contextualSpacing/>
              <w:rPr>
                <w:rFonts w:ascii="Times New Roman" w:hAnsi="Times New Roman" w:cs="Times New Roman"/>
                <w:b/>
                <w:bCs/>
                <w:noProof/>
              </w:rPr>
            </w:pPr>
            <w:r w:rsidRPr="00575CC5">
              <w:rPr>
                <w:rFonts w:ascii="Times New Roman" w:hAnsi="Times New Roman" w:cs="Times New Roman"/>
                <w:b/>
                <w:bCs/>
                <w:noProof/>
              </w:rPr>
              <w:t>Stakeholders</w:t>
            </w:r>
          </w:p>
        </w:tc>
        <w:tc>
          <w:tcPr>
            <w:tcW w:w="820" w:type="pct"/>
            <w:gridSpan w:val="2"/>
          </w:tcPr>
          <w:p w14:paraId="71502F39" w14:textId="77777777" w:rsidR="00C87C82" w:rsidRPr="00575CC5" w:rsidRDefault="00C87C82">
            <w:pPr>
              <w:spacing w:line="276" w:lineRule="auto"/>
              <w:contextualSpacing/>
              <w:rPr>
                <w:rFonts w:ascii="Times New Roman" w:hAnsi="Times New Roman" w:cs="Times New Roman"/>
                <w:b/>
                <w:bCs/>
                <w:noProof/>
              </w:rPr>
            </w:pPr>
            <w:r w:rsidRPr="00575CC5">
              <w:rPr>
                <w:rFonts w:ascii="Times New Roman" w:hAnsi="Times New Roman" w:cs="Times New Roman"/>
                <w:b/>
                <w:bCs/>
                <w:noProof/>
              </w:rPr>
              <w:t xml:space="preserve"># Responses </w:t>
            </w:r>
          </w:p>
          <w:p w14:paraId="2C309FDC" w14:textId="77777777" w:rsidR="00C87C82" w:rsidRPr="00575CC5" w:rsidRDefault="00C87C82">
            <w:pPr>
              <w:spacing w:line="276" w:lineRule="auto"/>
              <w:contextualSpacing/>
              <w:rPr>
                <w:rFonts w:ascii="Times New Roman" w:hAnsi="Times New Roman" w:cs="Times New Roman"/>
                <w:noProof/>
              </w:rPr>
            </w:pPr>
            <w:r w:rsidRPr="00575CC5">
              <w:rPr>
                <w:rFonts w:ascii="Times New Roman" w:hAnsi="Times New Roman" w:cs="Times New Roman"/>
                <w:noProof/>
                <w:sz w:val="20"/>
                <w:szCs w:val="20"/>
              </w:rPr>
              <w:t>(Received by 24/05/2024)</w:t>
            </w:r>
          </w:p>
        </w:tc>
      </w:tr>
      <w:tr w:rsidR="00C87C82" w:rsidRPr="00575CC5" w14:paraId="58B9C485" w14:textId="77777777">
        <w:trPr>
          <w:trHeight w:val="54"/>
        </w:trPr>
        <w:tc>
          <w:tcPr>
            <w:tcW w:w="1145" w:type="pct"/>
            <w:vMerge w:val="restart"/>
            <w:hideMark/>
          </w:tcPr>
          <w:p w14:paraId="7D962ED7"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National Authorities</w:t>
            </w:r>
          </w:p>
        </w:tc>
        <w:tc>
          <w:tcPr>
            <w:tcW w:w="3178" w:type="pct"/>
            <w:gridSpan w:val="2"/>
            <w:hideMark/>
          </w:tcPr>
          <w:p w14:paraId="058FE851" w14:textId="36AEF1D6"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 xml:space="preserve">National </w:t>
            </w:r>
            <w:r w:rsidR="00B0326F">
              <w:rPr>
                <w:rFonts w:ascii="Times New Roman" w:eastAsia="Verdana" w:hAnsi="Times New Roman" w:cs="Times New Roman"/>
                <w:noProof/>
                <w:color w:val="000000"/>
                <w:kern w:val="24"/>
                <w:sz w:val="20"/>
                <w:szCs w:val="20"/>
                <w:lang w:eastAsia="en-GB"/>
              </w:rPr>
              <w:t>j</w:t>
            </w:r>
            <w:r w:rsidRPr="00575CC5">
              <w:rPr>
                <w:rFonts w:ascii="Times New Roman" w:eastAsia="Verdana" w:hAnsi="Times New Roman" w:cs="Times New Roman"/>
                <w:noProof/>
                <w:color w:val="000000"/>
                <w:kern w:val="24"/>
                <w:sz w:val="20"/>
                <w:szCs w:val="20"/>
                <w:lang w:eastAsia="en-GB"/>
              </w:rPr>
              <w:t xml:space="preserve">udicial </w:t>
            </w:r>
            <w:r w:rsidR="00B0326F">
              <w:rPr>
                <w:rFonts w:ascii="Times New Roman" w:eastAsia="Verdana" w:hAnsi="Times New Roman" w:cs="Times New Roman"/>
                <w:noProof/>
                <w:color w:val="000000"/>
                <w:kern w:val="24"/>
                <w:sz w:val="20"/>
                <w:szCs w:val="20"/>
                <w:lang w:eastAsia="en-GB"/>
              </w:rPr>
              <w:t>a</w:t>
            </w:r>
            <w:r w:rsidRPr="00575CC5">
              <w:rPr>
                <w:rFonts w:ascii="Times New Roman" w:eastAsia="Verdana" w:hAnsi="Times New Roman" w:cs="Times New Roman"/>
                <w:noProof/>
                <w:color w:val="000000"/>
                <w:kern w:val="24"/>
                <w:sz w:val="20"/>
                <w:szCs w:val="20"/>
                <w:lang w:eastAsia="en-GB"/>
              </w:rPr>
              <w:t>uthorities *</w:t>
            </w:r>
          </w:p>
        </w:tc>
        <w:tc>
          <w:tcPr>
            <w:tcW w:w="676" w:type="pct"/>
          </w:tcPr>
          <w:p w14:paraId="7CD028CA"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 xml:space="preserve"> 8</w:t>
            </w:r>
          </w:p>
        </w:tc>
      </w:tr>
      <w:tr w:rsidR="00C87C82" w:rsidRPr="00575CC5" w14:paraId="440F54EA" w14:textId="77777777">
        <w:trPr>
          <w:trHeight w:val="54"/>
        </w:trPr>
        <w:tc>
          <w:tcPr>
            <w:tcW w:w="1145" w:type="pct"/>
            <w:vMerge/>
            <w:hideMark/>
          </w:tcPr>
          <w:p w14:paraId="69B4F4F6"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5E26689E" w14:textId="2CEFB194"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 xml:space="preserve">National </w:t>
            </w:r>
            <w:r w:rsidR="00B0326F">
              <w:rPr>
                <w:rFonts w:ascii="Times New Roman" w:eastAsia="Verdana" w:hAnsi="Times New Roman" w:cs="Times New Roman"/>
                <w:noProof/>
                <w:color w:val="000000"/>
                <w:kern w:val="24"/>
                <w:sz w:val="20"/>
                <w:szCs w:val="20"/>
                <w:lang w:eastAsia="en-GB"/>
              </w:rPr>
              <w:t>l</w:t>
            </w:r>
            <w:r w:rsidRPr="00575CC5">
              <w:rPr>
                <w:rFonts w:ascii="Times New Roman" w:eastAsia="Verdana" w:hAnsi="Times New Roman" w:cs="Times New Roman"/>
                <w:noProof/>
                <w:color w:val="000000"/>
                <w:kern w:val="24"/>
                <w:sz w:val="20"/>
                <w:szCs w:val="20"/>
                <w:lang w:eastAsia="en-GB"/>
              </w:rPr>
              <w:t xml:space="preserve">aw </w:t>
            </w:r>
            <w:r w:rsidR="00B0326F">
              <w:rPr>
                <w:rFonts w:ascii="Times New Roman" w:eastAsia="Verdana" w:hAnsi="Times New Roman" w:cs="Times New Roman"/>
                <w:noProof/>
                <w:color w:val="000000"/>
                <w:kern w:val="24"/>
                <w:sz w:val="20"/>
                <w:szCs w:val="20"/>
                <w:lang w:eastAsia="en-GB"/>
              </w:rPr>
              <w:t>e</w:t>
            </w:r>
            <w:r w:rsidRPr="00575CC5">
              <w:rPr>
                <w:rFonts w:ascii="Times New Roman" w:eastAsia="Verdana" w:hAnsi="Times New Roman" w:cs="Times New Roman"/>
                <w:noProof/>
                <w:color w:val="000000"/>
                <w:kern w:val="24"/>
                <w:sz w:val="20"/>
                <w:szCs w:val="20"/>
                <w:lang w:eastAsia="en-GB"/>
              </w:rPr>
              <w:t xml:space="preserve">nforcement </w:t>
            </w:r>
            <w:r w:rsidR="00B0326F">
              <w:rPr>
                <w:rFonts w:ascii="Times New Roman" w:eastAsia="Verdana" w:hAnsi="Times New Roman" w:cs="Times New Roman"/>
                <w:noProof/>
                <w:color w:val="000000"/>
                <w:kern w:val="24"/>
                <w:sz w:val="20"/>
                <w:szCs w:val="20"/>
                <w:lang w:eastAsia="en-GB"/>
              </w:rPr>
              <w:t>a</w:t>
            </w:r>
            <w:r w:rsidRPr="00575CC5">
              <w:rPr>
                <w:rFonts w:ascii="Times New Roman" w:eastAsia="Verdana" w:hAnsi="Times New Roman" w:cs="Times New Roman"/>
                <w:noProof/>
                <w:color w:val="000000"/>
                <w:kern w:val="24"/>
                <w:sz w:val="20"/>
                <w:szCs w:val="20"/>
                <w:lang w:eastAsia="en-GB"/>
              </w:rPr>
              <w:t>uthorities *</w:t>
            </w:r>
          </w:p>
        </w:tc>
        <w:tc>
          <w:tcPr>
            <w:tcW w:w="676" w:type="pct"/>
          </w:tcPr>
          <w:p w14:paraId="02885AC8"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14</w:t>
            </w:r>
          </w:p>
        </w:tc>
      </w:tr>
      <w:tr w:rsidR="00C87C82" w:rsidRPr="00575CC5" w14:paraId="74295880" w14:textId="77777777">
        <w:trPr>
          <w:trHeight w:val="54"/>
        </w:trPr>
        <w:tc>
          <w:tcPr>
            <w:tcW w:w="1145" w:type="pct"/>
            <w:vMerge/>
            <w:hideMark/>
          </w:tcPr>
          <w:p w14:paraId="1B397FEF"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07EDC606"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Financial Intelligence Units *</w:t>
            </w:r>
          </w:p>
        </w:tc>
        <w:tc>
          <w:tcPr>
            <w:tcW w:w="676" w:type="pct"/>
          </w:tcPr>
          <w:p w14:paraId="47D2919F"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11</w:t>
            </w:r>
          </w:p>
        </w:tc>
      </w:tr>
      <w:tr w:rsidR="00C87C82" w:rsidRPr="00575CC5" w14:paraId="4CC361BE" w14:textId="77777777">
        <w:trPr>
          <w:trHeight w:val="54"/>
        </w:trPr>
        <w:tc>
          <w:tcPr>
            <w:tcW w:w="1145" w:type="pct"/>
            <w:vMerge/>
            <w:hideMark/>
          </w:tcPr>
          <w:p w14:paraId="71351B3C"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1D62CD00"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Asset Recovery Offices *</w:t>
            </w:r>
          </w:p>
        </w:tc>
        <w:tc>
          <w:tcPr>
            <w:tcW w:w="676" w:type="pct"/>
          </w:tcPr>
          <w:p w14:paraId="725F4ABE"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 xml:space="preserve"> 8</w:t>
            </w:r>
          </w:p>
        </w:tc>
      </w:tr>
      <w:tr w:rsidR="00C87C82" w:rsidRPr="00575CC5" w14:paraId="210DB04E" w14:textId="77777777">
        <w:trPr>
          <w:trHeight w:val="54"/>
        </w:trPr>
        <w:tc>
          <w:tcPr>
            <w:tcW w:w="1145" w:type="pct"/>
            <w:hideMark/>
          </w:tcPr>
          <w:p w14:paraId="7E89A6A3"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NGOs, think-tanks, academic institutions and European associations *</w:t>
            </w:r>
          </w:p>
        </w:tc>
        <w:tc>
          <w:tcPr>
            <w:tcW w:w="3178" w:type="pct"/>
            <w:gridSpan w:val="2"/>
            <w:hideMark/>
          </w:tcPr>
          <w:p w14:paraId="01CABBA5"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Royal United Services Institute, Global Initiative against Transnational Organised Crime, Transcrime, Basel Institute of Governance, Transparency International, Global Initiative to Fight Financial Crime, Institute for Financial Crime – University of Groningen, Centre for European Policy Studies, Tax Justice Network, European Criminal Bar Association, The Council of Bars and Law Society of Europe, European Banking Federation, Tax Advisors Europe, European Tax Advisors Federation, Accountancy Europe</w:t>
            </w:r>
          </w:p>
        </w:tc>
        <w:tc>
          <w:tcPr>
            <w:tcW w:w="676" w:type="pct"/>
          </w:tcPr>
          <w:p w14:paraId="598D694E"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 xml:space="preserve"> 6</w:t>
            </w:r>
          </w:p>
        </w:tc>
      </w:tr>
      <w:tr w:rsidR="00C87C82" w:rsidRPr="00575CC5" w14:paraId="2A0C3A5F" w14:textId="77777777">
        <w:trPr>
          <w:trHeight w:val="54"/>
        </w:trPr>
        <w:tc>
          <w:tcPr>
            <w:tcW w:w="1145" w:type="pct"/>
            <w:hideMark/>
          </w:tcPr>
          <w:p w14:paraId="25315816" w14:textId="78ECF20E"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 xml:space="preserve">International </w:t>
            </w:r>
            <w:r w:rsidR="008C2F6B">
              <w:rPr>
                <w:rFonts w:ascii="Times New Roman" w:eastAsia="Verdana" w:hAnsi="Times New Roman" w:cs="Times New Roman"/>
                <w:noProof/>
                <w:color w:val="000000"/>
                <w:kern w:val="24"/>
                <w:sz w:val="20"/>
                <w:szCs w:val="20"/>
                <w:lang w:eastAsia="en-GB"/>
              </w:rPr>
              <w:t>o</w:t>
            </w:r>
            <w:r w:rsidR="008C2F6B" w:rsidRPr="00575CC5">
              <w:rPr>
                <w:rFonts w:ascii="Times New Roman" w:eastAsia="Verdana" w:hAnsi="Times New Roman" w:cs="Times New Roman"/>
                <w:noProof/>
                <w:color w:val="000000"/>
                <w:kern w:val="24"/>
                <w:sz w:val="20"/>
                <w:szCs w:val="20"/>
                <w:lang w:eastAsia="en-GB"/>
              </w:rPr>
              <w:t xml:space="preserve">rganisations </w:t>
            </w:r>
            <w:r w:rsidRPr="00575CC5">
              <w:rPr>
                <w:rFonts w:ascii="Times New Roman" w:eastAsia="Verdana" w:hAnsi="Times New Roman" w:cs="Times New Roman"/>
                <w:noProof/>
                <w:color w:val="000000"/>
                <w:kern w:val="24"/>
                <w:sz w:val="20"/>
                <w:szCs w:val="20"/>
                <w:lang w:eastAsia="en-GB"/>
              </w:rPr>
              <w:t>*</w:t>
            </w:r>
          </w:p>
        </w:tc>
        <w:tc>
          <w:tcPr>
            <w:tcW w:w="3178" w:type="pct"/>
            <w:gridSpan w:val="2"/>
            <w:hideMark/>
          </w:tcPr>
          <w:p w14:paraId="710CFCDC" w14:textId="350EFA99"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 xml:space="preserve">UNODC, Council of Europe, Financial Action Task Force, </w:t>
            </w:r>
            <w:r w:rsidR="008C2F6B">
              <w:rPr>
                <w:rFonts w:ascii="Times New Roman" w:eastAsia="Verdana" w:hAnsi="Times New Roman" w:cs="Times New Roman"/>
                <w:noProof/>
                <w:color w:val="000000"/>
                <w:kern w:val="24"/>
                <w:sz w:val="20"/>
                <w:szCs w:val="20"/>
                <w:lang w:eastAsia="en-GB"/>
              </w:rPr>
              <w:t>INTERPOL</w:t>
            </w:r>
            <w:r w:rsidR="008C2F6B" w:rsidRPr="00575CC5">
              <w:rPr>
                <w:rFonts w:ascii="Times New Roman" w:eastAsia="Verdana" w:hAnsi="Times New Roman" w:cs="Times New Roman"/>
                <w:noProof/>
                <w:color w:val="000000"/>
                <w:kern w:val="24"/>
                <w:sz w:val="20"/>
                <w:szCs w:val="20"/>
                <w:lang w:eastAsia="en-GB"/>
              </w:rPr>
              <w:t> </w:t>
            </w:r>
          </w:p>
        </w:tc>
        <w:tc>
          <w:tcPr>
            <w:tcW w:w="676" w:type="pct"/>
          </w:tcPr>
          <w:p w14:paraId="1A4D7EF5"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w:t>
            </w:r>
          </w:p>
        </w:tc>
      </w:tr>
      <w:tr w:rsidR="00C87C82" w:rsidRPr="00575CC5" w14:paraId="1B986CD3" w14:textId="77777777">
        <w:trPr>
          <w:trHeight w:val="54"/>
        </w:trPr>
        <w:tc>
          <w:tcPr>
            <w:tcW w:w="1145" w:type="pct"/>
            <w:vMerge w:val="restart"/>
            <w:hideMark/>
          </w:tcPr>
          <w:p w14:paraId="32281F49"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 xml:space="preserve">European Union Bodies and Agencies </w:t>
            </w:r>
          </w:p>
        </w:tc>
        <w:tc>
          <w:tcPr>
            <w:tcW w:w="3178" w:type="pct"/>
            <w:gridSpan w:val="2"/>
            <w:hideMark/>
          </w:tcPr>
          <w:p w14:paraId="48450604" w14:textId="351A4F9A"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E</w:t>
            </w:r>
            <w:r w:rsidR="004A1392" w:rsidRPr="00575CC5">
              <w:rPr>
                <w:rFonts w:ascii="Times New Roman" w:eastAsia="Verdana" w:hAnsi="Times New Roman" w:cs="Times New Roman"/>
                <w:noProof/>
                <w:color w:val="000000"/>
                <w:kern w:val="24"/>
                <w:sz w:val="20"/>
                <w:szCs w:val="20"/>
                <w:lang w:eastAsia="en-GB"/>
              </w:rPr>
              <w:t>uropean Banking Authority</w:t>
            </w:r>
            <w:r w:rsidRPr="00575CC5">
              <w:rPr>
                <w:rFonts w:ascii="Times New Roman" w:eastAsia="Verdana" w:hAnsi="Times New Roman" w:cs="Times New Roman"/>
                <w:noProof/>
                <w:color w:val="000000"/>
                <w:kern w:val="24"/>
                <w:sz w:val="20"/>
                <w:szCs w:val="20"/>
                <w:lang w:eastAsia="en-GB"/>
              </w:rPr>
              <w:t xml:space="preserve"> *</w:t>
            </w:r>
          </w:p>
        </w:tc>
        <w:tc>
          <w:tcPr>
            <w:tcW w:w="676" w:type="pct"/>
          </w:tcPr>
          <w:p w14:paraId="1B04A0C5"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w:t>
            </w:r>
          </w:p>
        </w:tc>
      </w:tr>
      <w:tr w:rsidR="00C87C82" w:rsidRPr="00575CC5" w14:paraId="78468717" w14:textId="77777777">
        <w:trPr>
          <w:trHeight w:val="54"/>
        </w:trPr>
        <w:tc>
          <w:tcPr>
            <w:tcW w:w="1145" w:type="pct"/>
            <w:vMerge/>
            <w:hideMark/>
          </w:tcPr>
          <w:p w14:paraId="4193AA87"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5901C8A5"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EMPACT *</w:t>
            </w:r>
          </w:p>
        </w:tc>
        <w:tc>
          <w:tcPr>
            <w:tcW w:w="676" w:type="pct"/>
          </w:tcPr>
          <w:p w14:paraId="347B4659"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4</w:t>
            </w:r>
          </w:p>
        </w:tc>
      </w:tr>
      <w:tr w:rsidR="00C87C82" w:rsidRPr="00575CC5" w14:paraId="1A28DAC1" w14:textId="77777777">
        <w:trPr>
          <w:trHeight w:val="54"/>
        </w:trPr>
        <w:tc>
          <w:tcPr>
            <w:tcW w:w="1145" w:type="pct"/>
            <w:vMerge/>
            <w:hideMark/>
          </w:tcPr>
          <w:p w14:paraId="44B9777D"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1A29D340"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EPPO *</w:t>
            </w:r>
          </w:p>
        </w:tc>
        <w:tc>
          <w:tcPr>
            <w:tcW w:w="676" w:type="pct"/>
          </w:tcPr>
          <w:p w14:paraId="5199F3C0"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w:t>
            </w:r>
          </w:p>
        </w:tc>
      </w:tr>
      <w:tr w:rsidR="00C87C82" w:rsidRPr="00575CC5" w14:paraId="1F9A64AD" w14:textId="77777777">
        <w:trPr>
          <w:trHeight w:val="54"/>
        </w:trPr>
        <w:tc>
          <w:tcPr>
            <w:tcW w:w="1145" w:type="pct"/>
            <w:vMerge/>
            <w:hideMark/>
          </w:tcPr>
          <w:p w14:paraId="2C5CD4F6"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0062B9B6" w14:textId="1AB08EA2" w:rsidR="00C87C82" w:rsidRPr="00575CC5" w:rsidRDefault="008C2F6B">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E</w:t>
            </w:r>
            <w:r>
              <w:rPr>
                <w:rFonts w:ascii="Times New Roman" w:eastAsia="Verdana" w:hAnsi="Times New Roman" w:cs="Times New Roman"/>
                <w:noProof/>
                <w:color w:val="000000"/>
                <w:kern w:val="24"/>
                <w:sz w:val="20"/>
                <w:szCs w:val="20"/>
                <w:lang w:eastAsia="en-GB"/>
              </w:rPr>
              <w:t>urojust</w:t>
            </w:r>
            <w:r w:rsidR="00C87C82" w:rsidRPr="00575CC5">
              <w:rPr>
                <w:rFonts w:ascii="Times New Roman" w:eastAsia="Verdana" w:hAnsi="Times New Roman" w:cs="Times New Roman"/>
                <w:noProof/>
                <w:color w:val="000000"/>
                <w:kern w:val="24"/>
                <w:sz w:val="20"/>
                <w:szCs w:val="20"/>
                <w:lang w:eastAsia="en-GB"/>
              </w:rPr>
              <w:t>*</w:t>
            </w:r>
          </w:p>
        </w:tc>
        <w:tc>
          <w:tcPr>
            <w:tcW w:w="676" w:type="pct"/>
          </w:tcPr>
          <w:p w14:paraId="667B3483"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w:t>
            </w:r>
          </w:p>
        </w:tc>
      </w:tr>
      <w:tr w:rsidR="00C87C82" w:rsidRPr="00575CC5" w14:paraId="47B88FC4" w14:textId="77777777">
        <w:trPr>
          <w:trHeight w:val="54"/>
        </w:trPr>
        <w:tc>
          <w:tcPr>
            <w:tcW w:w="1145" w:type="pct"/>
            <w:vMerge/>
            <w:hideMark/>
          </w:tcPr>
          <w:p w14:paraId="011515F8"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20F88BC2" w14:textId="025CA889" w:rsidR="00C87C82" w:rsidRPr="00575CC5" w:rsidRDefault="008C2F6B">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E</w:t>
            </w:r>
            <w:r>
              <w:rPr>
                <w:rFonts w:ascii="Times New Roman" w:eastAsia="Verdana" w:hAnsi="Times New Roman" w:cs="Times New Roman"/>
                <w:noProof/>
                <w:color w:val="000000"/>
                <w:kern w:val="24"/>
                <w:sz w:val="20"/>
                <w:szCs w:val="20"/>
                <w:lang w:eastAsia="en-GB"/>
              </w:rPr>
              <w:t>uropol</w:t>
            </w:r>
            <w:r w:rsidRPr="00575CC5">
              <w:rPr>
                <w:rFonts w:ascii="Times New Roman" w:eastAsia="Verdana" w:hAnsi="Times New Roman" w:cs="Times New Roman"/>
                <w:noProof/>
                <w:color w:val="000000"/>
                <w:kern w:val="24"/>
                <w:sz w:val="20"/>
                <w:szCs w:val="20"/>
                <w:lang w:eastAsia="en-GB"/>
              </w:rPr>
              <w:t xml:space="preserve"> </w:t>
            </w:r>
            <w:r w:rsidR="00C87C82" w:rsidRPr="00575CC5">
              <w:rPr>
                <w:rFonts w:ascii="Times New Roman" w:eastAsia="Verdana" w:hAnsi="Times New Roman" w:cs="Times New Roman"/>
                <w:noProof/>
                <w:color w:val="000000"/>
                <w:kern w:val="24"/>
                <w:sz w:val="20"/>
                <w:szCs w:val="20"/>
                <w:lang w:eastAsia="en-GB"/>
              </w:rPr>
              <w:t>– Anti-Money Laundering Operational Network (AMON) –</w:t>
            </w:r>
            <w:r w:rsidR="00C87C82" w:rsidRPr="00575CC5">
              <w:rPr>
                <w:rFonts w:ascii="Times New Roman" w:hAnsi="Times New Roman" w:cs="Times New Roman"/>
                <w:noProof/>
              </w:rPr>
              <w:t xml:space="preserve"> </w:t>
            </w:r>
            <w:r w:rsidR="00C87C82" w:rsidRPr="00575CC5">
              <w:rPr>
                <w:rFonts w:ascii="Times New Roman" w:eastAsia="Verdana" w:hAnsi="Times New Roman" w:cs="Times New Roman"/>
                <w:noProof/>
                <w:color w:val="000000"/>
                <w:kern w:val="24"/>
                <w:sz w:val="20"/>
                <w:szCs w:val="20"/>
                <w:lang w:eastAsia="en-GB"/>
              </w:rPr>
              <w:t>European Financial and Economic Crime Centre (EFECC) *</w:t>
            </w:r>
          </w:p>
        </w:tc>
        <w:tc>
          <w:tcPr>
            <w:tcW w:w="676" w:type="pct"/>
          </w:tcPr>
          <w:p w14:paraId="7A1661F3"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1</w:t>
            </w:r>
          </w:p>
        </w:tc>
      </w:tr>
      <w:tr w:rsidR="00C87C82" w:rsidRPr="00575CC5" w14:paraId="416FBB35" w14:textId="77777777">
        <w:trPr>
          <w:trHeight w:val="23"/>
        </w:trPr>
        <w:tc>
          <w:tcPr>
            <w:tcW w:w="1145" w:type="pct"/>
            <w:vMerge/>
            <w:hideMark/>
          </w:tcPr>
          <w:p w14:paraId="0E702467" w14:textId="77777777" w:rsidR="00C87C82" w:rsidRPr="00575CC5" w:rsidRDefault="00C87C82">
            <w:pPr>
              <w:spacing w:line="276" w:lineRule="auto"/>
              <w:rPr>
                <w:rFonts w:ascii="Times New Roman" w:eastAsia="Times New Roman" w:hAnsi="Times New Roman" w:cs="Times New Roman"/>
                <w:noProof/>
                <w:sz w:val="20"/>
                <w:szCs w:val="20"/>
                <w:lang w:eastAsia="en-GB"/>
              </w:rPr>
            </w:pPr>
          </w:p>
        </w:tc>
        <w:tc>
          <w:tcPr>
            <w:tcW w:w="3178" w:type="pct"/>
            <w:gridSpan w:val="2"/>
            <w:hideMark/>
          </w:tcPr>
          <w:p w14:paraId="7F3140DB" w14:textId="77777777" w:rsidR="00C87C82" w:rsidRPr="00575CC5" w:rsidRDefault="00C87C82">
            <w:pPr>
              <w:spacing w:after="160" w:line="276" w:lineRule="auto"/>
              <w:rPr>
                <w:rFonts w:ascii="Times New Roman" w:eastAsia="Times New Roman" w:hAnsi="Times New Roman" w:cs="Times New Roman"/>
                <w:noProof/>
                <w:sz w:val="20"/>
                <w:szCs w:val="20"/>
                <w:lang w:eastAsia="en-GB"/>
              </w:rPr>
            </w:pPr>
            <w:r w:rsidRPr="00575CC5">
              <w:rPr>
                <w:rFonts w:ascii="Times New Roman" w:eastAsia="Verdana" w:hAnsi="Times New Roman" w:cs="Times New Roman"/>
                <w:noProof/>
                <w:color w:val="000000"/>
                <w:kern w:val="24"/>
                <w:sz w:val="20"/>
                <w:szCs w:val="20"/>
                <w:lang w:eastAsia="en-GB"/>
              </w:rPr>
              <w:t>FRA *</w:t>
            </w:r>
          </w:p>
        </w:tc>
        <w:tc>
          <w:tcPr>
            <w:tcW w:w="676" w:type="pct"/>
          </w:tcPr>
          <w:p w14:paraId="1F920FAA" w14:textId="77777777" w:rsidR="00C87C82" w:rsidRPr="00575CC5" w:rsidRDefault="00C87C82">
            <w:pPr>
              <w:spacing w:after="160" w:line="276" w:lineRule="auto"/>
              <w:rPr>
                <w:rFonts w:ascii="Times New Roman" w:eastAsia="Verdana" w:hAnsi="Times New Roman" w:cs="Times New Roman"/>
                <w:noProof/>
                <w:color w:val="000000"/>
                <w:kern w:val="24"/>
                <w:sz w:val="20"/>
                <w:szCs w:val="20"/>
                <w:lang w:eastAsia="en-GB"/>
              </w:rPr>
            </w:pPr>
            <w:r w:rsidRPr="00575CC5">
              <w:rPr>
                <w:rFonts w:ascii="Times New Roman" w:eastAsia="Verdana" w:hAnsi="Times New Roman" w:cs="Times New Roman"/>
                <w:noProof/>
                <w:color w:val="000000"/>
                <w:kern w:val="24"/>
                <w:sz w:val="20"/>
                <w:szCs w:val="20"/>
                <w:lang w:eastAsia="en-GB"/>
              </w:rPr>
              <w:t>-</w:t>
            </w:r>
          </w:p>
        </w:tc>
      </w:tr>
    </w:tbl>
    <w:p w14:paraId="766DC0E9" w14:textId="77777777" w:rsidR="00C87C82" w:rsidRPr="00575CC5" w:rsidRDefault="00C87C82" w:rsidP="00C87C82">
      <w:pPr>
        <w:pStyle w:val="ListParagraph"/>
        <w:spacing w:line="276" w:lineRule="auto"/>
        <w:ind w:left="788"/>
        <w:rPr>
          <w:noProof/>
          <w:sz w:val="20"/>
        </w:rPr>
      </w:pPr>
      <w:r w:rsidRPr="00575CC5">
        <w:rPr>
          <w:noProof/>
          <w:sz w:val="20"/>
        </w:rPr>
        <w:t xml:space="preserve">* </w:t>
      </w:r>
      <w:r w:rsidRPr="00575CC5">
        <w:rPr>
          <w:i/>
          <w:iCs/>
          <w:noProof/>
          <w:sz w:val="20"/>
        </w:rPr>
        <w:t>Unique surveys</w:t>
      </w:r>
    </w:p>
    <w:p w14:paraId="173818B2" w14:textId="77777777" w:rsidR="00C87C82" w:rsidRPr="00575CC5" w:rsidRDefault="00C87C82" w:rsidP="008A47B8">
      <w:pPr>
        <w:pStyle w:val="Heading2"/>
        <w:rPr>
          <w:noProof/>
        </w:rPr>
      </w:pPr>
      <w:bookmarkStart w:id="107" w:name="_Toc223439287"/>
      <w:r w:rsidRPr="00575CC5">
        <w:rPr>
          <w:noProof/>
        </w:rPr>
        <w:t>Participation in meetings and workshops</w:t>
      </w:r>
      <w:bookmarkEnd w:id="107"/>
    </w:p>
    <w:p w14:paraId="5E181045" w14:textId="027C4AA5" w:rsidR="00C87C82" w:rsidRPr="00575CC5" w:rsidRDefault="00C87C82" w:rsidP="00C87C82">
      <w:pPr>
        <w:jc w:val="both"/>
        <w:rPr>
          <w:rFonts w:ascii="Times New Roman" w:hAnsi="Times New Roman" w:cs="Times New Roman"/>
          <w:noProof/>
          <w:sz w:val="24"/>
          <w:szCs w:val="28"/>
        </w:rPr>
      </w:pPr>
      <w:r w:rsidRPr="00575CC5">
        <w:rPr>
          <w:rFonts w:ascii="Times New Roman" w:hAnsi="Times New Roman" w:cs="Times New Roman"/>
          <w:noProof/>
          <w:sz w:val="24"/>
          <w:szCs w:val="28"/>
        </w:rPr>
        <w:t xml:space="preserve">Participation in the </w:t>
      </w:r>
      <w:r w:rsidR="00F43A94" w:rsidRPr="00F43A94">
        <w:rPr>
          <w:rFonts w:ascii="Times New Roman" w:hAnsi="Times New Roman" w:cs="Times New Roman"/>
          <w:noProof/>
          <w:sz w:val="24"/>
          <w:szCs w:val="28"/>
        </w:rPr>
        <w:t xml:space="preserve">Meeting of the Expert Group </w:t>
      </w:r>
      <w:r w:rsidR="00F43A94">
        <w:rPr>
          <w:rFonts w:ascii="Times New Roman" w:hAnsi="Times New Roman" w:cs="Times New Roman"/>
          <w:noProof/>
          <w:sz w:val="24"/>
          <w:szCs w:val="28"/>
        </w:rPr>
        <w:t xml:space="preserve">of the Commission </w:t>
      </w:r>
      <w:r w:rsidR="00F43A94" w:rsidRPr="00F43A94">
        <w:rPr>
          <w:rFonts w:ascii="Times New Roman" w:hAnsi="Times New Roman" w:cs="Times New Roman"/>
          <w:noProof/>
          <w:sz w:val="24"/>
          <w:szCs w:val="28"/>
        </w:rPr>
        <w:t>on EU Criminal Policy</w:t>
      </w:r>
      <w:r w:rsidRPr="00575CC5">
        <w:rPr>
          <w:rFonts w:ascii="Times New Roman" w:hAnsi="Times New Roman" w:cs="Times New Roman"/>
          <w:noProof/>
          <w:sz w:val="24"/>
          <w:szCs w:val="28"/>
        </w:rPr>
        <w:t xml:space="preserve"> (March 1, 2024) provided a unique opportunity to gather expert input and relevant insights to complement initial observations from surveys and interviews</w:t>
      </w:r>
      <w:r w:rsidR="007500AD">
        <w:rPr>
          <w:rFonts w:ascii="Times New Roman" w:hAnsi="Times New Roman" w:cs="Times New Roman"/>
          <w:noProof/>
          <w:sz w:val="24"/>
          <w:szCs w:val="28"/>
        </w:rPr>
        <w:t>.</w:t>
      </w:r>
      <w:r w:rsidR="006C737B">
        <w:rPr>
          <w:rFonts w:ascii="Times New Roman" w:hAnsi="Times New Roman" w:cs="Times New Roman"/>
          <w:noProof/>
          <w:sz w:val="24"/>
          <w:szCs w:val="28"/>
        </w:rPr>
        <w:t xml:space="preserve"> </w:t>
      </w:r>
      <w:r w:rsidR="00B25A7B">
        <w:rPr>
          <w:rFonts w:ascii="Times New Roman" w:hAnsi="Times New Roman" w:cs="Times New Roman"/>
          <w:noProof/>
          <w:sz w:val="24"/>
          <w:szCs w:val="28"/>
        </w:rPr>
        <w:t xml:space="preserve">The Horizontal Expert group </w:t>
      </w:r>
      <w:r w:rsidR="00420DDF">
        <w:rPr>
          <w:rFonts w:ascii="Times New Roman" w:hAnsi="Times New Roman" w:cs="Times New Roman"/>
          <w:noProof/>
          <w:sz w:val="24"/>
          <w:szCs w:val="28"/>
        </w:rPr>
        <w:t>gather</w:t>
      </w:r>
      <w:r w:rsidR="006C737B">
        <w:rPr>
          <w:rFonts w:ascii="Times New Roman" w:hAnsi="Times New Roman" w:cs="Times New Roman"/>
          <w:noProof/>
          <w:sz w:val="24"/>
          <w:szCs w:val="28"/>
        </w:rPr>
        <w:t>ed</w:t>
      </w:r>
      <w:r w:rsidR="00B25A7B">
        <w:rPr>
          <w:rFonts w:ascii="Times New Roman" w:hAnsi="Times New Roman" w:cs="Times New Roman"/>
          <w:noProof/>
          <w:sz w:val="24"/>
          <w:szCs w:val="28"/>
        </w:rPr>
        <w:t xml:space="preserve"> Prosecutors, </w:t>
      </w:r>
      <w:r w:rsidR="00A2427C">
        <w:rPr>
          <w:rFonts w:ascii="Times New Roman" w:hAnsi="Times New Roman" w:cs="Times New Roman"/>
          <w:noProof/>
          <w:sz w:val="24"/>
          <w:szCs w:val="28"/>
        </w:rPr>
        <w:t>Criminal l</w:t>
      </w:r>
      <w:r w:rsidR="00B25A7B">
        <w:rPr>
          <w:rFonts w:ascii="Times New Roman" w:hAnsi="Times New Roman" w:cs="Times New Roman"/>
          <w:noProof/>
          <w:sz w:val="24"/>
          <w:szCs w:val="28"/>
        </w:rPr>
        <w:t xml:space="preserve">awyers and </w:t>
      </w:r>
      <w:r w:rsidR="00A2427C">
        <w:rPr>
          <w:rFonts w:ascii="Times New Roman" w:hAnsi="Times New Roman" w:cs="Times New Roman"/>
          <w:noProof/>
          <w:sz w:val="24"/>
          <w:szCs w:val="28"/>
        </w:rPr>
        <w:t xml:space="preserve">Criminal </w:t>
      </w:r>
      <w:r w:rsidR="00B25A7B">
        <w:rPr>
          <w:rFonts w:ascii="Times New Roman" w:hAnsi="Times New Roman" w:cs="Times New Roman"/>
          <w:noProof/>
          <w:sz w:val="24"/>
          <w:szCs w:val="28"/>
        </w:rPr>
        <w:t>Law Professor</w:t>
      </w:r>
      <w:r w:rsidR="006C737B">
        <w:rPr>
          <w:rFonts w:ascii="Times New Roman" w:hAnsi="Times New Roman" w:cs="Times New Roman"/>
          <w:noProof/>
          <w:sz w:val="24"/>
          <w:szCs w:val="28"/>
        </w:rPr>
        <w:t>s</w:t>
      </w:r>
      <w:r w:rsidR="00B25A7B">
        <w:rPr>
          <w:rFonts w:ascii="Times New Roman" w:hAnsi="Times New Roman" w:cs="Times New Roman"/>
          <w:noProof/>
          <w:sz w:val="24"/>
          <w:szCs w:val="28"/>
        </w:rPr>
        <w:t xml:space="preserve"> from Member States.</w:t>
      </w:r>
    </w:p>
    <w:p w14:paraId="5C351C54" w14:textId="37BA2E6B" w:rsidR="00C87C82" w:rsidRPr="004D76DA" w:rsidRDefault="00C87C82" w:rsidP="008A47B8">
      <w:pPr>
        <w:pStyle w:val="Heading2"/>
        <w:rPr>
          <w:noProof/>
          <w:lang w:val="en-IE"/>
        </w:rPr>
      </w:pPr>
      <w:bookmarkStart w:id="108" w:name="_Toc223439288"/>
      <w:r w:rsidRPr="004D76DA">
        <w:rPr>
          <w:noProof/>
        </w:rPr>
        <w:t xml:space="preserve">Tertiary </w:t>
      </w:r>
      <w:r w:rsidR="00647FE8">
        <w:rPr>
          <w:noProof/>
        </w:rPr>
        <w:t>e</w:t>
      </w:r>
      <w:r w:rsidR="00647FE8" w:rsidRPr="004D76DA">
        <w:rPr>
          <w:noProof/>
        </w:rPr>
        <w:t>xperts</w:t>
      </w:r>
      <w:bookmarkEnd w:id="108"/>
    </w:p>
    <w:p w14:paraId="45D8AE1E" w14:textId="3CF07BD6" w:rsidR="00F61874" w:rsidRPr="00A908E5" w:rsidRDefault="00C87C82" w:rsidP="00F02686">
      <w:pPr>
        <w:jc w:val="both"/>
        <w:rPr>
          <w:b/>
          <w:noProof/>
          <w:szCs w:val="28"/>
        </w:rPr>
      </w:pPr>
      <w:bookmarkStart w:id="109" w:name="_Toc218852118"/>
      <w:r w:rsidRPr="008A47B8">
        <w:rPr>
          <w:rFonts w:ascii="Times New Roman" w:hAnsi="Times New Roman" w:cs="Times New Roman"/>
          <w:noProof/>
          <w:sz w:val="24"/>
          <w:szCs w:val="28"/>
        </w:rPr>
        <w:t xml:space="preserve">Generally, stakeholder participation can be considered relatively low, especially </w:t>
      </w:r>
      <w:r w:rsidR="008A1323">
        <w:rPr>
          <w:rFonts w:ascii="Times New Roman" w:hAnsi="Times New Roman" w:cs="Times New Roman"/>
          <w:noProof/>
          <w:sz w:val="24"/>
          <w:szCs w:val="28"/>
        </w:rPr>
        <w:t>with</w:t>
      </w:r>
      <w:r w:rsidR="008A1323" w:rsidRPr="008A47B8">
        <w:rPr>
          <w:rFonts w:ascii="Times New Roman" w:hAnsi="Times New Roman" w:cs="Times New Roman"/>
          <w:noProof/>
          <w:sz w:val="24"/>
          <w:szCs w:val="28"/>
        </w:rPr>
        <w:t xml:space="preserve"> </w:t>
      </w:r>
      <w:r w:rsidRPr="008A47B8">
        <w:rPr>
          <w:rFonts w:ascii="Times New Roman" w:hAnsi="Times New Roman" w:cs="Times New Roman"/>
          <w:noProof/>
          <w:sz w:val="24"/>
          <w:szCs w:val="28"/>
        </w:rPr>
        <w:t xml:space="preserve">regard to </w:t>
      </w:r>
      <w:r w:rsidR="00647FE8" w:rsidRPr="008A47B8">
        <w:rPr>
          <w:rFonts w:ascii="Times New Roman" w:hAnsi="Times New Roman" w:cs="Times New Roman"/>
          <w:noProof/>
          <w:sz w:val="24"/>
          <w:szCs w:val="28"/>
        </w:rPr>
        <w:t>participation</w:t>
      </w:r>
      <w:r w:rsidR="00647FE8">
        <w:rPr>
          <w:rFonts w:ascii="Times New Roman" w:hAnsi="Times New Roman" w:cs="Times New Roman"/>
          <w:noProof/>
          <w:sz w:val="24"/>
          <w:szCs w:val="28"/>
        </w:rPr>
        <w:t xml:space="preserve"> in</w:t>
      </w:r>
      <w:r w:rsidR="00647FE8" w:rsidRPr="008A47B8">
        <w:rPr>
          <w:rFonts w:ascii="Times New Roman" w:hAnsi="Times New Roman" w:cs="Times New Roman"/>
          <w:noProof/>
          <w:sz w:val="24"/>
          <w:szCs w:val="28"/>
        </w:rPr>
        <w:t xml:space="preserve"> </w:t>
      </w:r>
      <w:r w:rsidRPr="008A47B8">
        <w:rPr>
          <w:rFonts w:ascii="Times New Roman" w:hAnsi="Times New Roman" w:cs="Times New Roman"/>
          <w:noProof/>
          <w:sz w:val="24"/>
          <w:szCs w:val="28"/>
        </w:rPr>
        <w:t xml:space="preserve">the survey. </w:t>
      </w:r>
      <w:r w:rsidR="00647FE8">
        <w:rPr>
          <w:rFonts w:ascii="Times New Roman" w:hAnsi="Times New Roman" w:cs="Times New Roman"/>
          <w:noProof/>
          <w:sz w:val="24"/>
          <w:szCs w:val="28"/>
        </w:rPr>
        <w:t>In view of this</w:t>
      </w:r>
      <w:r w:rsidRPr="008A47B8">
        <w:rPr>
          <w:rFonts w:ascii="Times New Roman" w:hAnsi="Times New Roman" w:cs="Times New Roman"/>
          <w:noProof/>
          <w:sz w:val="24"/>
          <w:szCs w:val="28"/>
        </w:rPr>
        <w:t xml:space="preserve">, the team </w:t>
      </w:r>
      <w:r w:rsidR="00395D62" w:rsidRPr="008A47B8">
        <w:rPr>
          <w:rFonts w:ascii="Times New Roman" w:hAnsi="Times New Roman" w:cs="Times New Roman"/>
          <w:noProof/>
          <w:sz w:val="24"/>
          <w:szCs w:val="28"/>
        </w:rPr>
        <w:t xml:space="preserve">in charge of the supporting study </w:t>
      </w:r>
      <w:r w:rsidRPr="008A47B8">
        <w:rPr>
          <w:rFonts w:ascii="Times New Roman" w:hAnsi="Times New Roman" w:cs="Times New Roman"/>
          <w:noProof/>
          <w:sz w:val="24"/>
          <w:szCs w:val="28"/>
        </w:rPr>
        <w:t xml:space="preserve">also relied on input from tertiary experts, who provided information about the implementation of the Directive across the Member States. </w:t>
      </w:r>
      <w:r w:rsidR="00F61874" w:rsidRPr="00A908E5">
        <w:rPr>
          <w:rFonts w:ascii="Times New Roman" w:hAnsi="Times New Roman" w:cs="Times New Roman"/>
          <w:noProof/>
          <w:sz w:val="24"/>
          <w:szCs w:val="28"/>
        </w:rPr>
        <w:t>In total, 14 legal experts provided their input in this regard, covering the following Member States: Bulgaria, Germany, Greece, France, Cyprus, Latvia</w:t>
      </w:r>
      <w:r w:rsidR="00F61874">
        <w:rPr>
          <w:rFonts w:ascii="Times New Roman" w:hAnsi="Times New Roman" w:cs="Times New Roman"/>
          <w:noProof/>
          <w:sz w:val="24"/>
          <w:szCs w:val="28"/>
        </w:rPr>
        <w:t>,</w:t>
      </w:r>
      <w:r w:rsidR="00F61874" w:rsidRPr="00A908E5">
        <w:rPr>
          <w:rFonts w:ascii="Times New Roman" w:hAnsi="Times New Roman" w:cs="Times New Roman"/>
          <w:noProof/>
          <w:sz w:val="24"/>
          <w:szCs w:val="28"/>
        </w:rPr>
        <w:t xml:space="preserve"> Luxembourg, Malta, </w:t>
      </w:r>
      <w:r w:rsidR="00F61874">
        <w:rPr>
          <w:rFonts w:ascii="Times New Roman" w:hAnsi="Times New Roman" w:cs="Times New Roman"/>
          <w:noProof/>
          <w:sz w:val="24"/>
          <w:szCs w:val="28"/>
        </w:rPr>
        <w:t>t</w:t>
      </w:r>
      <w:r w:rsidR="00F61874" w:rsidRPr="00A908E5">
        <w:rPr>
          <w:rFonts w:ascii="Times New Roman" w:hAnsi="Times New Roman" w:cs="Times New Roman"/>
          <w:noProof/>
          <w:sz w:val="24"/>
          <w:szCs w:val="28"/>
        </w:rPr>
        <w:t>he Netherlands</w:t>
      </w:r>
      <w:r w:rsidR="00F61874">
        <w:rPr>
          <w:rFonts w:ascii="Times New Roman" w:hAnsi="Times New Roman" w:cs="Times New Roman"/>
          <w:noProof/>
          <w:sz w:val="24"/>
          <w:szCs w:val="28"/>
        </w:rPr>
        <w:t xml:space="preserve">, </w:t>
      </w:r>
      <w:r w:rsidR="00F61874" w:rsidRPr="00A908E5">
        <w:rPr>
          <w:rFonts w:ascii="Times New Roman" w:hAnsi="Times New Roman" w:cs="Times New Roman"/>
          <w:noProof/>
          <w:sz w:val="24"/>
          <w:szCs w:val="28"/>
        </w:rPr>
        <w:t>Austria,</w:t>
      </w:r>
      <w:r w:rsidR="00F61874">
        <w:rPr>
          <w:rFonts w:ascii="Times New Roman" w:hAnsi="Times New Roman" w:cs="Times New Roman"/>
          <w:noProof/>
          <w:sz w:val="24"/>
          <w:szCs w:val="28"/>
        </w:rPr>
        <w:t xml:space="preserve"> </w:t>
      </w:r>
      <w:r w:rsidR="00F61874" w:rsidRPr="00A908E5">
        <w:rPr>
          <w:rFonts w:ascii="Times New Roman" w:hAnsi="Times New Roman" w:cs="Times New Roman"/>
          <w:noProof/>
          <w:sz w:val="24"/>
          <w:szCs w:val="28"/>
        </w:rPr>
        <w:t>Poland, Portugal, Romania</w:t>
      </w:r>
      <w:r w:rsidR="00F61874">
        <w:rPr>
          <w:rFonts w:ascii="Times New Roman" w:hAnsi="Times New Roman" w:cs="Times New Roman"/>
          <w:noProof/>
          <w:sz w:val="24"/>
          <w:szCs w:val="28"/>
        </w:rPr>
        <w:t xml:space="preserve"> and</w:t>
      </w:r>
      <w:r w:rsidR="00F61874" w:rsidRPr="00A908E5">
        <w:rPr>
          <w:rFonts w:ascii="Times New Roman" w:hAnsi="Times New Roman" w:cs="Times New Roman"/>
          <w:noProof/>
          <w:sz w:val="24"/>
          <w:szCs w:val="28"/>
        </w:rPr>
        <w:t xml:space="preserve"> Sweden.</w:t>
      </w:r>
    </w:p>
    <w:p w14:paraId="251CC3D6" w14:textId="70CBA1C6" w:rsidR="004D76DA" w:rsidRPr="008A47B8" w:rsidRDefault="004D76DA" w:rsidP="008A47B8">
      <w:pPr>
        <w:rPr>
          <w:b/>
          <w:noProof/>
          <w:szCs w:val="28"/>
        </w:rPr>
      </w:pPr>
      <w:bookmarkStart w:id="110" w:name="_Toc176207912"/>
      <w:bookmarkStart w:id="111" w:name="_Toc178101900"/>
      <w:bookmarkEnd w:id="109"/>
    </w:p>
    <w:p w14:paraId="3100A4BE" w14:textId="1F629C8E" w:rsidR="004F4FC0" w:rsidRPr="004D76DA" w:rsidRDefault="004F4FC0" w:rsidP="008A47B8">
      <w:pPr>
        <w:pStyle w:val="Heading2"/>
        <w:rPr>
          <w:noProof/>
        </w:rPr>
      </w:pPr>
      <w:bookmarkStart w:id="112" w:name="_Toc223439289"/>
      <w:r w:rsidRPr="004D76DA">
        <w:rPr>
          <w:noProof/>
        </w:rPr>
        <w:t>Results of the stakeholder consultation activities</w:t>
      </w:r>
      <w:bookmarkEnd w:id="110"/>
      <w:bookmarkEnd w:id="111"/>
      <w:bookmarkEnd w:id="112"/>
      <w:r w:rsidRPr="004D76DA">
        <w:rPr>
          <w:noProof/>
        </w:rPr>
        <w:t xml:space="preserve"> </w:t>
      </w:r>
    </w:p>
    <w:p w14:paraId="3E65E99C" w14:textId="0E8DD215" w:rsidR="004F4FC0" w:rsidRPr="004D76DA" w:rsidRDefault="004F4FC0" w:rsidP="009A39FA">
      <w:pPr>
        <w:jc w:val="both"/>
        <w:rPr>
          <w:rFonts w:ascii="Times New Roman" w:hAnsi="Times New Roman" w:cs="Times New Roman"/>
          <w:noProof/>
          <w:sz w:val="24"/>
          <w:szCs w:val="24"/>
        </w:rPr>
      </w:pPr>
      <w:r w:rsidRPr="004D76DA">
        <w:rPr>
          <w:rFonts w:ascii="Times New Roman" w:hAnsi="Times New Roman" w:cs="Times New Roman"/>
          <w:noProof/>
          <w:sz w:val="24"/>
          <w:szCs w:val="24"/>
          <w:lang w:eastAsia="en-GB"/>
        </w:rPr>
        <w:t xml:space="preserve">The results of the stakeholder consultations are reflected in the assessment of the evaluation of the Directive in Section 4. The consultation activities were tailored towards and targeted </w:t>
      </w:r>
      <w:r w:rsidR="00EF32A3">
        <w:rPr>
          <w:rFonts w:ascii="Times New Roman" w:hAnsi="Times New Roman" w:cs="Times New Roman"/>
          <w:noProof/>
          <w:sz w:val="24"/>
          <w:szCs w:val="24"/>
          <w:lang w:eastAsia="en-GB"/>
        </w:rPr>
        <w:t xml:space="preserve">at </w:t>
      </w:r>
      <w:r w:rsidRPr="004D76DA">
        <w:rPr>
          <w:rFonts w:ascii="Times New Roman" w:hAnsi="Times New Roman" w:cs="Times New Roman"/>
          <w:noProof/>
          <w:sz w:val="24"/>
          <w:szCs w:val="24"/>
          <w:lang w:eastAsia="en-GB"/>
        </w:rPr>
        <w:t xml:space="preserve">specific stakeholder groups, providing the necessary input for </w:t>
      </w:r>
      <w:r w:rsidR="00EF32A3">
        <w:rPr>
          <w:rFonts w:ascii="Times New Roman" w:hAnsi="Times New Roman" w:cs="Times New Roman"/>
          <w:noProof/>
          <w:sz w:val="24"/>
          <w:szCs w:val="24"/>
          <w:lang w:eastAsia="en-GB"/>
        </w:rPr>
        <w:t>assessing</w:t>
      </w:r>
      <w:r w:rsidRPr="004D76DA">
        <w:rPr>
          <w:rFonts w:ascii="Times New Roman" w:hAnsi="Times New Roman" w:cs="Times New Roman"/>
          <w:noProof/>
          <w:sz w:val="24"/>
          <w:szCs w:val="24"/>
          <w:lang w:eastAsia="en-GB"/>
        </w:rPr>
        <w:t xml:space="preserve"> of the performance of the Directive. </w:t>
      </w:r>
    </w:p>
    <w:p w14:paraId="57072019" w14:textId="2F5D9AF2" w:rsidR="00EC6CBA" w:rsidRPr="004D76DA" w:rsidRDefault="00EF32A3" w:rsidP="009A39FA">
      <w:pPr>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In light of this</w:t>
      </w:r>
      <w:r w:rsidR="004F4FC0" w:rsidRPr="004D76DA">
        <w:rPr>
          <w:rFonts w:ascii="Times New Roman" w:hAnsi="Times New Roman" w:cs="Times New Roman"/>
          <w:noProof/>
          <w:sz w:val="24"/>
          <w:szCs w:val="24"/>
          <w:lang w:eastAsia="en-GB"/>
        </w:rPr>
        <w:t xml:space="preserve">, contacting different groups of stakeholders </w:t>
      </w:r>
      <w:r>
        <w:rPr>
          <w:rFonts w:ascii="Times New Roman" w:hAnsi="Times New Roman" w:cs="Times New Roman"/>
          <w:noProof/>
          <w:sz w:val="24"/>
          <w:szCs w:val="24"/>
          <w:lang w:eastAsia="en-GB"/>
        </w:rPr>
        <w:t xml:space="preserve">made it possible to </w:t>
      </w:r>
      <w:r w:rsidR="004F4FC0" w:rsidRPr="004D76DA">
        <w:rPr>
          <w:rFonts w:ascii="Times New Roman" w:hAnsi="Times New Roman" w:cs="Times New Roman"/>
          <w:noProof/>
          <w:sz w:val="24"/>
          <w:szCs w:val="24"/>
          <w:lang w:eastAsia="en-GB"/>
        </w:rPr>
        <w:t>obtain varied input</w:t>
      </w:r>
      <w:r>
        <w:rPr>
          <w:rFonts w:ascii="Times New Roman" w:hAnsi="Times New Roman" w:cs="Times New Roman"/>
          <w:noProof/>
          <w:sz w:val="24"/>
          <w:szCs w:val="24"/>
          <w:lang w:eastAsia="en-GB"/>
        </w:rPr>
        <w:t xml:space="preserve"> for the study</w:t>
      </w:r>
      <w:r w:rsidR="004F4FC0" w:rsidRPr="004D76DA">
        <w:rPr>
          <w:rFonts w:ascii="Times New Roman" w:hAnsi="Times New Roman" w:cs="Times New Roman"/>
          <w:noProof/>
          <w:sz w:val="24"/>
          <w:szCs w:val="24"/>
          <w:lang w:eastAsia="en-GB"/>
        </w:rPr>
        <w:t xml:space="preserve"> with regard to the evaluation of the Directive. </w:t>
      </w:r>
    </w:p>
    <w:p w14:paraId="04A36F4D" w14:textId="3493B874"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 xml:space="preserve">The </w:t>
      </w:r>
      <w:r w:rsidRPr="004D76DA">
        <w:rPr>
          <w:rFonts w:ascii="Times New Roman" w:hAnsi="Times New Roman" w:cs="Times New Roman"/>
          <w:b/>
          <w:noProof/>
          <w:sz w:val="24"/>
          <w:szCs w:val="24"/>
          <w:lang w:eastAsia="en-GB"/>
        </w:rPr>
        <w:t>European Commission</w:t>
      </w:r>
      <w:r w:rsidR="00EF32A3">
        <w:rPr>
          <w:rFonts w:ascii="Times New Roman" w:hAnsi="Times New Roman" w:cs="Times New Roman"/>
          <w:b/>
          <w:noProof/>
          <w:sz w:val="24"/>
          <w:szCs w:val="24"/>
          <w:lang w:eastAsia="en-GB"/>
        </w:rPr>
        <w:t>’s</w:t>
      </w:r>
      <w:r w:rsidRPr="004D76DA">
        <w:rPr>
          <w:rFonts w:ascii="Times New Roman" w:hAnsi="Times New Roman" w:cs="Times New Roman"/>
          <w:b/>
          <w:noProof/>
          <w:sz w:val="24"/>
          <w:szCs w:val="24"/>
          <w:lang w:eastAsia="en-GB"/>
        </w:rPr>
        <w:t xml:space="preserve"> DGs</w:t>
      </w:r>
      <w:r w:rsidRPr="004D76DA">
        <w:rPr>
          <w:rFonts w:ascii="Times New Roman" w:hAnsi="Times New Roman" w:cs="Times New Roman"/>
          <w:noProof/>
          <w:sz w:val="24"/>
          <w:szCs w:val="24"/>
          <w:lang w:eastAsia="en-GB"/>
        </w:rPr>
        <w:t xml:space="preserve"> provided information on the inputs and outputs of the Directive, and </w:t>
      </w:r>
      <w:r w:rsidR="00EF32A3">
        <w:rPr>
          <w:rFonts w:ascii="Times New Roman" w:hAnsi="Times New Roman" w:cs="Times New Roman"/>
          <w:noProof/>
          <w:sz w:val="24"/>
          <w:szCs w:val="24"/>
          <w:lang w:eastAsia="en-GB"/>
        </w:rPr>
        <w:t xml:space="preserve">on </w:t>
      </w:r>
      <w:r w:rsidRPr="004D76DA">
        <w:rPr>
          <w:rFonts w:ascii="Times New Roman" w:hAnsi="Times New Roman" w:cs="Times New Roman"/>
          <w:noProof/>
          <w:sz w:val="24"/>
          <w:szCs w:val="24"/>
          <w:lang w:eastAsia="en-GB"/>
        </w:rPr>
        <w:t>the interplay with other policies and legislation in the area of anti-money laundering, financial crime prevention in the EU, and other policies. The</w:t>
      </w:r>
      <w:r w:rsidR="00EF32A3">
        <w:rPr>
          <w:rFonts w:ascii="Times New Roman" w:hAnsi="Times New Roman" w:cs="Times New Roman"/>
          <w:noProof/>
          <w:sz w:val="24"/>
          <w:szCs w:val="24"/>
          <w:lang w:eastAsia="en-GB"/>
        </w:rPr>
        <w:t xml:space="preserve"> DGs</w:t>
      </w:r>
      <w:r w:rsidRPr="004D76DA">
        <w:rPr>
          <w:rFonts w:ascii="Times New Roman" w:hAnsi="Times New Roman" w:cs="Times New Roman"/>
          <w:noProof/>
          <w:sz w:val="24"/>
          <w:szCs w:val="24"/>
          <w:lang w:eastAsia="en-GB"/>
        </w:rPr>
        <w:t xml:space="preserve"> were primarily involved during the inception phase of the study</w:t>
      </w:r>
      <w:r w:rsidR="00107CBF" w:rsidRPr="004D76DA">
        <w:rPr>
          <w:rFonts w:ascii="Times New Roman" w:hAnsi="Times New Roman" w:cs="Times New Roman"/>
          <w:noProof/>
          <w:sz w:val="24"/>
          <w:szCs w:val="24"/>
          <w:lang w:eastAsia="en-GB"/>
        </w:rPr>
        <w:t xml:space="preserve"> supporting the evaluation</w:t>
      </w:r>
      <w:r w:rsidRPr="004D76DA">
        <w:rPr>
          <w:rFonts w:ascii="Times New Roman" w:hAnsi="Times New Roman" w:cs="Times New Roman"/>
          <w:noProof/>
          <w:sz w:val="24"/>
          <w:szCs w:val="24"/>
          <w:lang w:eastAsia="en-GB"/>
        </w:rPr>
        <w:t xml:space="preserve">, providing guidance </w:t>
      </w:r>
      <w:r w:rsidR="00EF32A3">
        <w:rPr>
          <w:rFonts w:ascii="Times New Roman" w:hAnsi="Times New Roman" w:cs="Times New Roman"/>
          <w:noProof/>
          <w:sz w:val="24"/>
          <w:szCs w:val="24"/>
          <w:lang w:eastAsia="en-GB"/>
        </w:rPr>
        <w:t>on</w:t>
      </w:r>
      <w:r w:rsidR="00EF32A3"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the assessment of the </w:t>
      </w:r>
      <w:r w:rsidR="00694FCA">
        <w:rPr>
          <w:rFonts w:ascii="Times New Roman" w:hAnsi="Times New Roman" w:cs="Times New Roman"/>
          <w:noProof/>
          <w:sz w:val="24"/>
          <w:szCs w:val="24"/>
          <w:lang w:eastAsia="en-GB"/>
        </w:rPr>
        <w:t>CMLD</w:t>
      </w:r>
      <w:r w:rsidRPr="004D76DA">
        <w:rPr>
          <w:rFonts w:ascii="Times New Roman" w:hAnsi="Times New Roman" w:cs="Times New Roman"/>
          <w:noProof/>
          <w:sz w:val="24"/>
          <w:szCs w:val="24"/>
          <w:lang w:eastAsia="en-GB"/>
        </w:rPr>
        <w:t>, and in the context of the ISG. Meanwhile, the EU agencies and bodies provided input on the practical implementation</w:t>
      </w:r>
      <w:r w:rsidR="00886F3A">
        <w:rPr>
          <w:rFonts w:ascii="Times New Roman" w:hAnsi="Times New Roman" w:cs="Times New Roman"/>
          <w:noProof/>
          <w:sz w:val="24"/>
          <w:szCs w:val="24"/>
          <w:lang w:eastAsia="en-GB"/>
        </w:rPr>
        <w:t xml:space="preserve"> of the study</w:t>
      </w:r>
      <w:r w:rsidRPr="004D76DA">
        <w:rPr>
          <w:rFonts w:ascii="Times New Roman" w:hAnsi="Times New Roman" w:cs="Times New Roman"/>
          <w:noProof/>
          <w:sz w:val="24"/>
          <w:szCs w:val="24"/>
          <w:lang w:eastAsia="en-GB"/>
        </w:rPr>
        <w:t>,</w:t>
      </w:r>
      <w:r w:rsidR="00886F3A">
        <w:rPr>
          <w:rFonts w:ascii="Times New Roman" w:hAnsi="Times New Roman" w:cs="Times New Roman"/>
          <w:noProof/>
          <w:sz w:val="24"/>
          <w:szCs w:val="24"/>
          <w:lang w:eastAsia="en-GB"/>
        </w:rPr>
        <w:t xml:space="preserve"> on</w:t>
      </w:r>
      <w:r w:rsidRPr="004D76DA">
        <w:rPr>
          <w:rFonts w:ascii="Times New Roman" w:hAnsi="Times New Roman" w:cs="Times New Roman"/>
          <w:noProof/>
          <w:sz w:val="24"/>
          <w:szCs w:val="24"/>
          <w:lang w:eastAsia="en-GB"/>
        </w:rPr>
        <w:t xml:space="preserve"> best practices and</w:t>
      </w:r>
      <w:r w:rsidR="00886F3A">
        <w:rPr>
          <w:rFonts w:ascii="Times New Roman" w:hAnsi="Times New Roman" w:cs="Times New Roman"/>
          <w:noProof/>
          <w:sz w:val="24"/>
          <w:szCs w:val="24"/>
          <w:lang w:eastAsia="en-GB"/>
        </w:rPr>
        <w:t xml:space="preserve"> on</w:t>
      </w:r>
      <w:r w:rsidRPr="004D76DA">
        <w:rPr>
          <w:rFonts w:ascii="Times New Roman" w:hAnsi="Times New Roman" w:cs="Times New Roman"/>
          <w:noProof/>
          <w:sz w:val="24"/>
          <w:szCs w:val="24"/>
          <w:lang w:eastAsia="en-GB"/>
        </w:rPr>
        <w:t xml:space="preserve"> challenges seen </w:t>
      </w:r>
      <w:r w:rsidR="00886F3A">
        <w:rPr>
          <w:rFonts w:ascii="Times New Roman" w:hAnsi="Times New Roman" w:cs="Times New Roman"/>
          <w:noProof/>
          <w:sz w:val="24"/>
          <w:szCs w:val="24"/>
          <w:lang w:eastAsia="en-GB"/>
        </w:rPr>
        <w:t>at</w:t>
      </w:r>
      <w:r w:rsidR="00886F3A"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EU level. </w:t>
      </w:r>
    </w:p>
    <w:p w14:paraId="51C7005F" w14:textId="442C060B" w:rsidR="006C737B"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Further</w:t>
      </w:r>
      <w:r w:rsidR="00886F3A">
        <w:rPr>
          <w:rFonts w:ascii="Times New Roman" w:hAnsi="Times New Roman" w:cs="Times New Roman"/>
          <w:noProof/>
          <w:sz w:val="24"/>
          <w:szCs w:val="24"/>
          <w:lang w:eastAsia="en-GB"/>
        </w:rPr>
        <w:t>more</w:t>
      </w:r>
      <w:r w:rsidRPr="004D76DA">
        <w:rPr>
          <w:rFonts w:ascii="Times New Roman" w:hAnsi="Times New Roman" w:cs="Times New Roman"/>
          <w:noProof/>
          <w:sz w:val="24"/>
          <w:szCs w:val="24"/>
          <w:lang w:eastAsia="en-GB"/>
        </w:rPr>
        <w:t xml:space="preserve">, stakeholders from the EU institutions contributed to the assessment of the evaluation criteria for the </w:t>
      </w:r>
      <w:r w:rsidR="00694FCA">
        <w:rPr>
          <w:rFonts w:ascii="Times New Roman" w:hAnsi="Times New Roman" w:cs="Times New Roman"/>
          <w:noProof/>
          <w:sz w:val="24"/>
          <w:szCs w:val="24"/>
          <w:lang w:eastAsia="en-GB"/>
        </w:rPr>
        <w:t>CMLD</w:t>
      </w:r>
      <w:r w:rsidRPr="004D76DA">
        <w:rPr>
          <w:rFonts w:ascii="Times New Roman" w:hAnsi="Times New Roman" w:cs="Times New Roman"/>
          <w:noProof/>
          <w:sz w:val="24"/>
          <w:szCs w:val="24"/>
          <w:lang w:eastAsia="en-GB"/>
        </w:rPr>
        <w:t xml:space="preserve">. For effectiveness, the EU institutions generally underlined the harmonisation established by the </w:t>
      </w:r>
      <w:r w:rsidR="00694FCA">
        <w:rPr>
          <w:rFonts w:ascii="Times New Roman" w:hAnsi="Times New Roman" w:cs="Times New Roman"/>
          <w:noProof/>
          <w:sz w:val="24"/>
          <w:szCs w:val="24"/>
          <w:lang w:eastAsia="en-GB"/>
        </w:rPr>
        <w:t>CMLD</w:t>
      </w:r>
      <w:r w:rsidRPr="004D76DA">
        <w:rPr>
          <w:rFonts w:ascii="Times New Roman" w:hAnsi="Times New Roman" w:cs="Times New Roman"/>
          <w:noProof/>
          <w:sz w:val="24"/>
          <w:szCs w:val="24"/>
          <w:lang w:eastAsia="en-GB"/>
        </w:rPr>
        <w:t xml:space="preserve">, whilst also highlighting the limiting factors in this regard, such as </w:t>
      </w:r>
      <w:r w:rsidR="00955795">
        <w:rPr>
          <w:rFonts w:ascii="Times New Roman" w:hAnsi="Times New Roman" w:cs="Times New Roman"/>
          <w:noProof/>
          <w:sz w:val="24"/>
          <w:szCs w:val="24"/>
          <w:lang w:eastAsia="en-GB"/>
        </w:rPr>
        <w:t>a degree of</w:t>
      </w:r>
      <w:r w:rsidR="00955795"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ambiguity in the definitions (e.g</w:t>
      </w:r>
      <w:r w:rsidR="00955795" w:rsidRPr="004D76DA">
        <w:rPr>
          <w:rFonts w:ascii="Times New Roman" w:hAnsi="Times New Roman" w:cs="Times New Roman"/>
          <w:noProof/>
          <w:sz w:val="24"/>
          <w:szCs w:val="24"/>
          <w:lang w:eastAsia="en-GB"/>
        </w:rPr>
        <w:t>.</w:t>
      </w:r>
      <w:r w:rsidR="00955795">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regarding property or predicate offences) and the </w:t>
      </w:r>
      <w:r w:rsidR="00955795">
        <w:rPr>
          <w:rFonts w:ascii="Times New Roman" w:hAnsi="Times New Roman" w:cs="Times New Roman"/>
          <w:noProof/>
          <w:sz w:val="24"/>
          <w:szCs w:val="24"/>
          <w:lang w:eastAsia="en-GB"/>
        </w:rPr>
        <w:t>differences</w:t>
      </w:r>
      <w:r w:rsidR="00955795"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in transposition across various Member States. Moreover, the Commission recommended t</w:t>
      </w:r>
      <w:r w:rsidR="00842030">
        <w:rPr>
          <w:rFonts w:ascii="Times New Roman" w:hAnsi="Times New Roman" w:cs="Times New Roman"/>
          <w:noProof/>
          <w:sz w:val="24"/>
          <w:szCs w:val="24"/>
          <w:lang w:eastAsia="en-GB"/>
        </w:rPr>
        <w:t xml:space="preserve">hat </w:t>
      </w:r>
      <w:r w:rsidRPr="004D76DA">
        <w:rPr>
          <w:rFonts w:ascii="Times New Roman" w:hAnsi="Times New Roman" w:cs="Times New Roman"/>
          <w:noProof/>
          <w:sz w:val="24"/>
          <w:szCs w:val="24"/>
          <w:lang w:eastAsia="en-GB"/>
        </w:rPr>
        <w:t xml:space="preserve">alignment </w:t>
      </w:r>
      <w:r w:rsidR="00842030">
        <w:rPr>
          <w:rFonts w:ascii="Times New Roman" w:hAnsi="Times New Roman" w:cs="Times New Roman"/>
          <w:noProof/>
          <w:sz w:val="24"/>
          <w:szCs w:val="24"/>
          <w:lang w:eastAsia="en-GB"/>
        </w:rPr>
        <w:t xml:space="preserve">be ensured </w:t>
      </w:r>
      <w:r w:rsidRPr="004D76DA">
        <w:rPr>
          <w:rFonts w:ascii="Times New Roman" w:hAnsi="Times New Roman" w:cs="Times New Roman"/>
          <w:noProof/>
          <w:sz w:val="24"/>
          <w:szCs w:val="24"/>
          <w:lang w:eastAsia="en-GB"/>
        </w:rPr>
        <w:t xml:space="preserve">between the Directive </w:t>
      </w:r>
      <w:r w:rsidR="002A28F0">
        <w:rPr>
          <w:rFonts w:ascii="Times New Roman" w:hAnsi="Times New Roman" w:cs="Times New Roman"/>
          <w:noProof/>
          <w:sz w:val="24"/>
          <w:szCs w:val="24"/>
          <w:lang w:eastAsia="en-GB"/>
        </w:rPr>
        <w:t>and</w:t>
      </w:r>
      <w:r w:rsidR="002A28F0"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newly adopted </w:t>
      </w:r>
      <w:r w:rsidR="002A28F0" w:rsidRPr="004D76DA">
        <w:rPr>
          <w:rFonts w:ascii="Times New Roman" w:hAnsi="Times New Roman" w:cs="Times New Roman"/>
          <w:noProof/>
          <w:sz w:val="24"/>
          <w:szCs w:val="24"/>
          <w:lang w:eastAsia="en-GB"/>
        </w:rPr>
        <w:t>criminal</w:t>
      </w:r>
      <w:r w:rsidR="002A28F0">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law instruments in the EU – in particular regarding the approach towards sanctions</w:t>
      </w:r>
      <w:r w:rsidR="00E679D7">
        <w:rPr>
          <w:rFonts w:ascii="Times New Roman" w:hAnsi="Times New Roman" w:cs="Times New Roman"/>
          <w:noProof/>
          <w:sz w:val="24"/>
          <w:szCs w:val="24"/>
          <w:lang w:eastAsia="en-GB"/>
        </w:rPr>
        <w:t xml:space="preserve">. </w:t>
      </w:r>
      <w:r w:rsidR="006C737B">
        <w:rPr>
          <w:rFonts w:ascii="Times New Roman" w:hAnsi="Times New Roman" w:cs="Times New Roman"/>
          <w:noProof/>
          <w:sz w:val="24"/>
          <w:szCs w:val="24"/>
          <w:lang w:eastAsia="en-GB"/>
        </w:rPr>
        <w:t>T</w:t>
      </w:r>
      <w:r w:rsidRPr="004D76DA">
        <w:rPr>
          <w:rFonts w:ascii="Times New Roman" w:hAnsi="Times New Roman" w:cs="Times New Roman"/>
          <w:noProof/>
          <w:sz w:val="24"/>
          <w:szCs w:val="24"/>
          <w:lang w:eastAsia="en-GB"/>
        </w:rPr>
        <w:t>he EU added value stemming from the contributions to harmonisation w</w:t>
      </w:r>
      <w:r w:rsidR="006C737B">
        <w:rPr>
          <w:rFonts w:ascii="Times New Roman" w:hAnsi="Times New Roman" w:cs="Times New Roman"/>
          <w:noProof/>
          <w:sz w:val="24"/>
          <w:szCs w:val="24"/>
          <w:lang w:eastAsia="en-GB"/>
        </w:rPr>
        <w:t>as</w:t>
      </w:r>
      <w:r w:rsidR="002A28F0">
        <w:rPr>
          <w:rFonts w:ascii="Times New Roman" w:hAnsi="Times New Roman" w:cs="Times New Roman"/>
          <w:noProof/>
          <w:sz w:val="24"/>
          <w:szCs w:val="24"/>
          <w:lang w:eastAsia="en-GB"/>
        </w:rPr>
        <w:t xml:space="preserve"> also</w:t>
      </w:r>
      <w:r w:rsidRPr="004D76DA">
        <w:rPr>
          <w:rFonts w:ascii="Times New Roman" w:hAnsi="Times New Roman" w:cs="Times New Roman"/>
          <w:noProof/>
          <w:sz w:val="24"/>
          <w:szCs w:val="24"/>
          <w:lang w:eastAsia="en-GB"/>
        </w:rPr>
        <w:t xml:space="preserve"> underscored by the stakeholder group. For the assessment of the relevance criterion, the stakeholder group generally indicated that the Directive </w:t>
      </w:r>
      <w:r w:rsidR="002A28F0">
        <w:rPr>
          <w:rFonts w:ascii="Times New Roman" w:hAnsi="Times New Roman" w:cs="Times New Roman"/>
          <w:noProof/>
          <w:sz w:val="24"/>
          <w:szCs w:val="24"/>
          <w:lang w:eastAsia="en-GB"/>
        </w:rPr>
        <w:t>consistently</w:t>
      </w:r>
      <w:r w:rsidR="002A28F0"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addresse</w:t>
      </w:r>
      <w:r w:rsidR="002A28F0">
        <w:rPr>
          <w:rFonts w:ascii="Times New Roman" w:hAnsi="Times New Roman" w:cs="Times New Roman"/>
          <w:noProof/>
          <w:sz w:val="24"/>
          <w:szCs w:val="24"/>
          <w:lang w:eastAsia="en-GB"/>
        </w:rPr>
        <w:t>d</w:t>
      </w:r>
      <w:r w:rsidRPr="004D76DA">
        <w:rPr>
          <w:rFonts w:ascii="Times New Roman" w:hAnsi="Times New Roman" w:cs="Times New Roman"/>
          <w:noProof/>
          <w:sz w:val="24"/>
          <w:szCs w:val="24"/>
          <w:lang w:eastAsia="en-GB"/>
        </w:rPr>
        <w:t xml:space="preserve"> current and future threats. Finally, the EU institutions and bodies indicated that the </w:t>
      </w:r>
      <w:r w:rsidR="00694FCA">
        <w:rPr>
          <w:rFonts w:ascii="Times New Roman" w:hAnsi="Times New Roman" w:cs="Times New Roman"/>
          <w:noProof/>
          <w:sz w:val="24"/>
          <w:szCs w:val="24"/>
          <w:lang w:eastAsia="en-GB"/>
        </w:rPr>
        <w:t>CMLD Directive</w:t>
      </w:r>
      <w:r w:rsidRPr="004D76DA">
        <w:rPr>
          <w:rFonts w:ascii="Times New Roman" w:hAnsi="Times New Roman" w:cs="Times New Roman"/>
          <w:noProof/>
          <w:sz w:val="24"/>
          <w:szCs w:val="24"/>
          <w:lang w:eastAsia="en-GB"/>
        </w:rPr>
        <w:t xml:space="preserve"> </w:t>
      </w:r>
      <w:r w:rsidR="002C41DC">
        <w:rPr>
          <w:rFonts w:ascii="Times New Roman" w:hAnsi="Times New Roman" w:cs="Times New Roman"/>
          <w:noProof/>
          <w:sz w:val="24"/>
          <w:szCs w:val="24"/>
          <w:lang w:eastAsia="en-GB"/>
        </w:rPr>
        <w:t>complied</w:t>
      </w:r>
      <w:r w:rsidRPr="004D76DA">
        <w:rPr>
          <w:rFonts w:ascii="Times New Roman" w:hAnsi="Times New Roman" w:cs="Times New Roman"/>
          <w:noProof/>
          <w:sz w:val="24"/>
          <w:szCs w:val="24"/>
          <w:lang w:eastAsia="en-GB"/>
        </w:rPr>
        <w:t xml:space="preserve"> with the key fundamental rights principles.  </w:t>
      </w:r>
    </w:p>
    <w:p w14:paraId="657C3460" w14:textId="766E7412" w:rsidR="006C737B" w:rsidRDefault="004F4FC0" w:rsidP="009A39FA">
      <w:pPr>
        <w:jc w:val="both"/>
        <w:rPr>
          <w:rFonts w:ascii="Times New Roman" w:hAnsi="Times New Roman" w:cs="Times New Roman"/>
          <w:noProof/>
          <w:sz w:val="24"/>
          <w:szCs w:val="24"/>
        </w:rPr>
      </w:pPr>
      <w:r w:rsidRPr="004D76DA">
        <w:rPr>
          <w:rFonts w:ascii="Times New Roman" w:hAnsi="Times New Roman" w:cs="Times New Roman"/>
          <w:noProof/>
          <w:sz w:val="24"/>
          <w:szCs w:val="24"/>
          <w:lang w:eastAsia="en-GB"/>
        </w:rPr>
        <w:t xml:space="preserve">The </w:t>
      </w:r>
      <w:r w:rsidRPr="004D76DA">
        <w:rPr>
          <w:rFonts w:ascii="Times New Roman" w:hAnsi="Times New Roman" w:cs="Times New Roman"/>
          <w:b/>
          <w:noProof/>
          <w:sz w:val="24"/>
          <w:szCs w:val="24"/>
          <w:lang w:eastAsia="en-GB"/>
        </w:rPr>
        <w:t>international stakeholders</w:t>
      </w:r>
      <w:r w:rsidRPr="004D76DA">
        <w:rPr>
          <w:rFonts w:ascii="Times New Roman" w:hAnsi="Times New Roman" w:cs="Times New Roman"/>
          <w:noProof/>
          <w:sz w:val="24"/>
          <w:szCs w:val="24"/>
          <w:lang w:eastAsia="en-GB"/>
        </w:rPr>
        <w:t xml:space="preserve"> provided insights into the positioning and application of the Directive in the broader international context of the fight against financial crime, </w:t>
      </w:r>
      <w:r w:rsidR="002C41DC">
        <w:rPr>
          <w:rFonts w:ascii="Times New Roman" w:hAnsi="Times New Roman" w:cs="Times New Roman"/>
          <w:noProof/>
          <w:sz w:val="24"/>
          <w:szCs w:val="24"/>
          <w:lang w:eastAsia="en-GB"/>
        </w:rPr>
        <w:t>which is of</w:t>
      </w:r>
      <w:r w:rsidR="002C41DC"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particular relevan</w:t>
      </w:r>
      <w:r w:rsidR="002C41DC">
        <w:rPr>
          <w:rFonts w:ascii="Times New Roman" w:hAnsi="Times New Roman" w:cs="Times New Roman"/>
          <w:noProof/>
          <w:sz w:val="24"/>
          <w:szCs w:val="24"/>
          <w:lang w:eastAsia="en-GB"/>
        </w:rPr>
        <w:t>ce</w:t>
      </w:r>
      <w:r w:rsidRPr="004D76DA">
        <w:rPr>
          <w:rFonts w:ascii="Times New Roman" w:hAnsi="Times New Roman" w:cs="Times New Roman"/>
          <w:noProof/>
          <w:sz w:val="24"/>
          <w:szCs w:val="24"/>
          <w:lang w:eastAsia="en-GB"/>
        </w:rPr>
        <w:t xml:space="preserve"> for the external coherence dimension. Given the low response rate of this stakeholder group, it is difficult to extrapolate the insights from the consultation activities without potentially </w:t>
      </w:r>
      <w:r w:rsidR="00575E53">
        <w:rPr>
          <w:rFonts w:ascii="Times New Roman" w:hAnsi="Times New Roman" w:cs="Times New Roman"/>
          <w:noProof/>
          <w:sz w:val="24"/>
          <w:szCs w:val="24"/>
          <w:lang w:eastAsia="en-GB"/>
        </w:rPr>
        <w:t>breaching</w:t>
      </w:r>
      <w:r w:rsidR="00575E53"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the anonymity</w:t>
      </w:r>
      <w:r w:rsidR="00575E53">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principle ensured by the study team during the consultation activities. </w:t>
      </w:r>
      <w:r w:rsidR="009A2000">
        <w:rPr>
          <w:rFonts w:ascii="Times New Roman" w:hAnsi="Times New Roman" w:cs="Times New Roman"/>
          <w:noProof/>
          <w:sz w:val="24"/>
          <w:szCs w:val="24"/>
          <w:lang w:eastAsia="en-GB"/>
        </w:rPr>
        <w:t>In view of this</w:t>
      </w:r>
      <w:r w:rsidRPr="004D76DA">
        <w:rPr>
          <w:rFonts w:ascii="Times New Roman" w:hAnsi="Times New Roman" w:cs="Times New Roman"/>
          <w:noProof/>
          <w:sz w:val="24"/>
          <w:szCs w:val="24"/>
          <w:lang w:eastAsia="en-GB"/>
        </w:rPr>
        <w:t xml:space="preserve">, a detailed assessment of their input is not included here. </w:t>
      </w:r>
    </w:p>
    <w:p w14:paraId="1FCDB266" w14:textId="3A3FDC28"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 xml:space="preserve">The </w:t>
      </w:r>
      <w:r w:rsidRPr="004D76DA">
        <w:rPr>
          <w:rFonts w:ascii="Times New Roman" w:hAnsi="Times New Roman" w:cs="Times New Roman"/>
          <w:b/>
          <w:noProof/>
          <w:sz w:val="24"/>
          <w:szCs w:val="24"/>
          <w:lang w:eastAsia="en-GB"/>
        </w:rPr>
        <w:t>national authorities</w:t>
      </w:r>
      <w:r w:rsidRPr="004D76DA">
        <w:rPr>
          <w:rFonts w:ascii="Times New Roman" w:hAnsi="Times New Roman" w:cs="Times New Roman"/>
          <w:noProof/>
          <w:sz w:val="24"/>
          <w:szCs w:val="24"/>
          <w:lang w:eastAsia="en-GB"/>
        </w:rPr>
        <w:t xml:space="preserve"> </w:t>
      </w:r>
      <w:r w:rsidR="00815113">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covering the </w:t>
      </w:r>
      <w:r w:rsidR="0051030A">
        <w:rPr>
          <w:rFonts w:ascii="Times New Roman" w:hAnsi="Times New Roman" w:cs="Times New Roman"/>
          <w:noProof/>
          <w:sz w:val="24"/>
          <w:szCs w:val="24"/>
          <w:lang w:eastAsia="en-GB"/>
        </w:rPr>
        <w:t>j</w:t>
      </w:r>
      <w:r w:rsidRPr="004D76DA">
        <w:rPr>
          <w:rFonts w:ascii="Times New Roman" w:hAnsi="Times New Roman" w:cs="Times New Roman"/>
          <w:noProof/>
          <w:sz w:val="24"/>
          <w:szCs w:val="24"/>
          <w:lang w:eastAsia="en-GB"/>
        </w:rPr>
        <w:t xml:space="preserve">udicial </w:t>
      </w:r>
      <w:r w:rsidR="0051030A">
        <w:rPr>
          <w:rFonts w:ascii="Times New Roman" w:hAnsi="Times New Roman" w:cs="Times New Roman"/>
          <w:noProof/>
          <w:sz w:val="24"/>
          <w:szCs w:val="24"/>
          <w:lang w:eastAsia="en-GB"/>
        </w:rPr>
        <w:t>a</w:t>
      </w:r>
      <w:r w:rsidRPr="004D76DA">
        <w:rPr>
          <w:rFonts w:ascii="Times New Roman" w:hAnsi="Times New Roman" w:cs="Times New Roman"/>
          <w:noProof/>
          <w:sz w:val="24"/>
          <w:szCs w:val="24"/>
          <w:lang w:eastAsia="en-GB"/>
        </w:rPr>
        <w:t xml:space="preserve">uthorities, </w:t>
      </w:r>
      <w:r w:rsidR="0051030A">
        <w:rPr>
          <w:rFonts w:ascii="Times New Roman" w:hAnsi="Times New Roman" w:cs="Times New Roman"/>
          <w:noProof/>
          <w:sz w:val="24"/>
          <w:szCs w:val="24"/>
          <w:lang w:eastAsia="en-GB"/>
        </w:rPr>
        <w:t>l</w:t>
      </w:r>
      <w:r w:rsidRPr="004D76DA">
        <w:rPr>
          <w:rFonts w:ascii="Times New Roman" w:hAnsi="Times New Roman" w:cs="Times New Roman"/>
          <w:noProof/>
          <w:sz w:val="24"/>
          <w:szCs w:val="24"/>
          <w:lang w:eastAsia="en-GB"/>
        </w:rPr>
        <w:t xml:space="preserve">aw </w:t>
      </w:r>
      <w:r w:rsidR="0051030A">
        <w:rPr>
          <w:rFonts w:ascii="Times New Roman" w:hAnsi="Times New Roman" w:cs="Times New Roman"/>
          <w:noProof/>
          <w:sz w:val="24"/>
          <w:szCs w:val="24"/>
          <w:lang w:eastAsia="en-GB"/>
        </w:rPr>
        <w:t>e</w:t>
      </w:r>
      <w:r w:rsidRPr="004D76DA">
        <w:rPr>
          <w:rFonts w:ascii="Times New Roman" w:hAnsi="Times New Roman" w:cs="Times New Roman"/>
          <w:noProof/>
          <w:sz w:val="24"/>
          <w:szCs w:val="24"/>
          <w:lang w:eastAsia="en-GB"/>
        </w:rPr>
        <w:t xml:space="preserve">nforcement </w:t>
      </w:r>
      <w:r w:rsidR="0051030A">
        <w:rPr>
          <w:rFonts w:ascii="Times New Roman" w:hAnsi="Times New Roman" w:cs="Times New Roman"/>
          <w:noProof/>
          <w:sz w:val="24"/>
          <w:szCs w:val="24"/>
          <w:lang w:eastAsia="en-GB"/>
        </w:rPr>
        <w:t>a</w:t>
      </w:r>
      <w:r w:rsidRPr="004D76DA">
        <w:rPr>
          <w:rFonts w:ascii="Times New Roman" w:hAnsi="Times New Roman" w:cs="Times New Roman"/>
          <w:noProof/>
          <w:sz w:val="24"/>
          <w:szCs w:val="24"/>
          <w:lang w:eastAsia="en-GB"/>
        </w:rPr>
        <w:t xml:space="preserve">gencies, Financial Intelligence Units and Asset Recovery Offices </w:t>
      </w:r>
      <w:r w:rsidR="00772DB1">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w:t>
      </w:r>
      <w:r w:rsidR="00772DB1">
        <w:rPr>
          <w:rFonts w:ascii="Times New Roman" w:hAnsi="Times New Roman" w:cs="Times New Roman"/>
          <w:noProof/>
          <w:sz w:val="24"/>
          <w:szCs w:val="24"/>
          <w:lang w:eastAsia="en-GB"/>
        </w:rPr>
        <w:t>gave their</w:t>
      </w:r>
      <w:r w:rsidR="00772DB1"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views on the practical implementation of the Directive </w:t>
      </w:r>
      <w:r w:rsidR="000F0271">
        <w:rPr>
          <w:rFonts w:ascii="Times New Roman" w:hAnsi="Times New Roman" w:cs="Times New Roman"/>
          <w:noProof/>
          <w:sz w:val="24"/>
          <w:szCs w:val="24"/>
          <w:lang w:eastAsia="en-GB"/>
        </w:rPr>
        <w:t>at</w:t>
      </w:r>
      <w:r w:rsidR="000F0271"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national level, share</w:t>
      </w:r>
      <w:r w:rsidR="000F0271">
        <w:rPr>
          <w:rFonts w:ascii="Times New Roman" w:hAnsi="Times New Roman" w:cs="Times New Roman"/>
          <w:noProof/>
          <w:sz w:val="24"/>
          <w:szCs w:val="24"/>
          <w:lang w:eastAsia="en-GB"/>
        </w:rPr>
        <w:t>d</w:t>
      </w:r>
      <w:r w:rsidRPr="004D76DA">
        <w:rPr>
          <w:rFonts w:ascii="Times New Roman" w:hAnsi="Times New Roman" w:cs="Times New Roman"/>
          <w:noProof/>
          <w:sz w:val="24"/>
          <w:szCs w:val="24"/>
          <w:lang w:eastAsia="en-GB"/>
        </w:rPr>
        <w:t xml:space="preserve"> best practices and </w:t>
      </w:r>
      <w:r w:rsidR="000F0271">
        <w:rPr>
          <w:rFonts w:ascii="Times New Roman" w:hAnsi="Times New Roman" w:cs="Times New Roman"/>
          <w:noProof/>
          <w:sz w:val="24"/>
          <w:szCs w:val="24"/>
          <w:lang w:eastAsia="en-GB"/>
        </w:rPr>
        <w:t xml:space="preserve">pointed out </w:t>
      </w:r>
      <w:r w:rsidRPr="004D76DA">
        <w:rPr>
          <w:rFonts w:ascii="Times New Roman" w:hAnsi="Times New Roman" w:cs="Times New Roman"/>
          <w:noProof/>
          <w:sz w:val="24"/>
          <w:szCs w:val="24"/>
          <w:lang w:eastAsia="en-GB"/>
        </w:rPr>
        <w:t xml:space="preserve">possible challenges </w:t>
      </w:r>
      <w:r w:rsidR="000F0271">
        <w:rPr>
          <w:rFonts w:ascii="Times New Roman" w:hAnsi="Times New Roman" w:cs="Times New Roman"/>
          <w:noProof/>
          <w:sz w:val="24"/>
          <w:szCs w:val="24"/>
          <w:lang w:eastAsia="en-GB"/>
        </w:rPr>
        <w:t>associated with the Directive’s</w:t>
      </w:r>
      <w:r w:rsidRPr="004D76DA">
        <w:rPr>
          <w:rFonts w:ascii="Times New Roman" w:hAnsi="Times New Roman" w:cs="Times New Roman"/>
          <w:noProof/>
          <w:sz w:val="24"/>
          <w:szCs w:val="24"/>
          <w:lang w:eastAsia="en-GB"/>
        </w:rPr>
        <w:t xml:space="preserve"> transposition and implementation. As highlighted above, the national authorities were primarily consulted via the use of surveys.</w:t>
      </w:r>
    </w:p>
    <w:p w14:paraId="635E64BB" w14:textId="72169789"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In terms of effectiveness, they contributed</w:t>
      </w:r>
      <w:r w:rsidR="00501236">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for example</w:t>
      </w:r>
      <w:r w:rsidR="00501236">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to the assessment of the harmonisation of offences and penalties </w:t>
      </w:r>
      <w:r w:rsidR="00501236">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indicating that the national regulatory frameworks are aligned with the provisions of the Directive</w:t>
      </w:r>
      <w:r w:rsidR="00501236">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cross-border and </w:t>
      </w:r>
      <w:r w:rsidR="004C5981">
        <w:rPr>
          <w:rFonts w:ascii="Times New Roman" w:hAnsi="Times New Roman" w:cs="Times New Roman"/>
          <w:noProof/>
          <w:sz w:val="24"/>
          <w:szCs w:val="24"/>
          <w:lang w:eastAsia="en-GB"/>
        </w:rPr>
        <w:t>i</w:t>
      </w:r>
      <w:r w:rsidR="004C5981" w:rsidRPr="004D76DA">
        <w:rPr>
          <w:rFonts w:ascii="Times New Roman" w:hAnsi="Times New Roman" w:cs="Times New Roman"/>
          <w:noProof/>
          <w:sz w:val="24"/>
          <w:szCs w:val="24"/>
          <w:lang w:eastAsia="en-GB"/>
        </w:rPr>
        <w:t xml:space="preserve">nternational </w:t>
      </w:r>
      <w:r w:rsidR="004C5981">
        <w:rPr>
          <w:rFonts w:ascii="Times New Roman" w:hAnsi="Times New Roman" w:cs="Times New Roman"/>
          <w:noProof/>
          <w:sz w:val="24"/>
          <w:szCs w:val="24"/>
          <w:lang w:eastAsia="en-GB"/>
        </w:rPr>
        <w:t>c</w:t>
      </w:r>
      <w:r w:rsidR="004C5981" w:rsidRPr="004D76DA">
        <w:rPr>
          <w:rFonts w:ascii="Times New Roman" w:hAnsi="Times New Roman" w:cs="Times New Roman"/>
          <w:noProof/>
          <w:sz w:val="24"/>
          <w:szCs w:val="24"/>
          <w:lang w:eastAsia="en-GB"/>
        </w:rPr>
        <w:t>ooperation</w:t>
      </w:r>
      <w:r w:rsidRPr="004D76DA">
        <w:rPr>
          <w:rFonts w:ascii="Times New Roman" w:hAnsi="Times New Roman" w:cs="Times New Roman"/>
          <w:noProof/>
          <w:sz w:val="24"/>
          <w:szCs w:val="24"/>
          <w:lang w:eastAsia="en-GB"/>
        </w:rPr>
        <w:t>, the use of investigative tools and money laundering prevention. Generally, national authorities were aligned on most elements linked to effectiveness</w:t>
      </w:r>
      <w:r w:rsidR="00815113">
        <w:rPr>
          <w:rFonts w:ascii="Times New Roman" w:hAnsi="Times New Roman" w:cs="Times New Roman"/>
          <w:noProof/>
          <w:sz w:val="24"/>
          <w:szCs w:val="24"/>
          <w:lang w:eastAsia="en-GB"/>
        </w:rPr>
        <w:t>, b</w:t>
      </w:r>
      <w:r w:rsidR="004C5981">
        <w:rPr>
          <w:rFonts w:ascii="Times New Roman" w:hAnsi="Times New Roman" w:cs="Times New Roman"/>
          <w:noProof/>
          <w:sz w:val="24"/>
          <w:szCs w:val="24"/>
          <w:lang w:eastAsia="en-GB"/>
        </w:rPr>
        <w:t>ut they diverged,</w:t>
      </w:r>
      <w:r w:rsidRPr="004D76DA">
        <w:rPr>
          <w:rFonts w:ascii="Times New Roman" w:hAnsi="Times New Roman" w:cs="Times New Roman"/>
          <w:noProof/>
          <w:sz w:val="24"/>
          <w:szCs w:val="24"/>
          <w:lang w:eastAsia="en-GB"/>
        </w:rPr>
        <w:t xml:space="preserve"> for example</w:t>
      </w:r>
      <w:r w:rsidR="004C5981">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diverged </w:t>
      </w:r>
      <w:r w:rsidR="002F0A6C">
        <w:rPr>
          <w:rFonts w:ascii="Times New Roman" w:hAnsi="Times New Roman" w:cs="Times New Roman"/>
          <w:noProof/>
          <w:sz w:val="24"/>
          <w:szCs w:val="24"/>
          <w:lang w:eastAsia="en-GB"/>
        </w:rPr>
        <w:t>when it came to facilitating</w:t>
      </w:r>
      <w:r w:rsidRPr="004D76DA">
        <w:rPr>
          <w:rFonts w:ascii="Times New Roman" w:hAnsi="Times New Roman" w:cs="Times New Roman"/>
          <w:noProof/>
          <w:sz w:val="24"/>
          <w:szCs w:val="24"/>
          <w:lang w:eastAsia="en-GB"/>
        </w:rPr>
        <w:t xml:space="preserve"> investigation and prosecut</w:t>
      </w:r>
      <w:r w:rsidR="00B54D31" w:rsidRPr="004D76DA">
        <w:rPr>
          <w:rFonts w:ascii="Times New Roman" w:hAnsi="Times New Roman" w:cs="Times New Roman"/>
          <w:noProof/>
          <w:sz w:val="24"/>
          <w:szCs w:val="24"/>
          <w:lang w:eastAsia="en-GB"/>
        </w:rPr>
        <w:t>i</w:t>
      </w:r>
      <w:r w:rsidRPr="004D76DA">
        <w:rPr>
          <w:rFonts w:ascii="Times New Roman" w:hAnsi="Times New Roman" w:cs="Times New Roman"/>
          <w:noProof/>
          <w:sz w:val="24"/>
          <w:szCs w:val="24"/>
          <w:lang w:eastAsia="en-GB"/>
        </w:rPr>
        <w:t xml:space="preserve">on, </w:t>
      </w:r>
      <w:r w:rsidR="002F0A6C">
        <w:rPr>
          <w:rFonts w:ascii="Times New Roman" w:hAnsi="Times New Roman" w:cs="Times New Roman"/>
          <w:noProof/>
          <w:sz w:val="24"/>
          <w:szCs w:val="24"/>
          <w:lang w:eastAsia="en-GB"/>
        </w:rPr>
        <w:t>with</w:t>
      </w:r>
      <w:r w:rsidR="002F0A6C"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LEAs </w:t>
      </w:r>
      <w:r w:rsidR="002F0A6C" w:rsidRPr="004D76DA">
        <w:rPr>
          <w:rFonts w:ascii="Times New Roman" w:hAnsi="Times New Roman" w:cs="Times New Roman"/>
          <w:noProof/>
          <w:sz w:val="24"/>
          <w:szCs w:val="24"/>
          <w:lang w:eastAsia="en-GB"/>
        </w:rPr>
        <w:t>report</w:t>
      </w:r>
      <w:r w:rsidR="002F0A6C">
        <w:rPr>
          <w:rFonts w:ascii="Times New Roman" w:hAnsi="Times New Roman" w:cs="Times New Roman"/>
          <w:noProof/>
          <w:sz w:val="24"/>
          <w:szCs w:val="24"/>
          <w:lang w:eastAsia="en-GB"/>
        </w:rPr>
        <w:t>ing</w:t>
      </w:r>
      <w:r w:rsidR="002F0A6C"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a higher level of support than the Financial Intelligence Units of the Member States.</w:t>
      </w:r>
    </w:p>
    <w:p w14:paraId="01F2A31C" w14:textId="73946696" w:rsidR="00372C0E" w:rsidRDefault="004F4FC0" w:rsidP="005823FE">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 xml:space="preserve">In terms of efficiency, all branches of the national authorities </w:t>
      </w:r>
      <w:r w:rsidR="00AE4A2E">
        <w:rPr>
          <w:rFonts w:ascii="Times New Roman" w:hAnsi="Times New Roman" w:cs="Times New Roman"/>
          <w:noProof/>
          <w:sz w:val="24"/>
          <w:szCs w:val="24"/>
          <w:lang w:eastAsia="en-GB"/>
        </w:rPr>
        <w:t xml:space="preserve">which </w:t>
      </w:r>
      <w:r w:rsidR="009E0CFE">
        <w:rPr>
          <w:rFonts w:ascii="Times New Roman" w:hAnsi="Times New Roman" w:cs="Times New Roman"/>
          <w:noProof/>
          <w:sz w:val="24"/>
          <w:szCs w:val="24"/>
          <w:lang w:eastAsia="en-GB"/>
        </w:rPr>
        <w:t xml:space="preserve">were consulted in the surveys </w:t>
      </w:r>
      <w:r w:rsidRPr="004D76DA">
        <w:rPr>
          <w:rFonts w:ascii="Times New Roman" w:hAnsi="Times New Roman" w:cs="Times New Roman"/>
          <w:noProof/>
          <w:sz w:val="24"/>
          <w:szCs w:val="24"/>
          <w:lang w:eastAsia="en-GB"/>
        </w:rPr>
        <w:t xml:space="preserve">reported no significant costs or additional administrative burden associated with </w:t>
      </w:r>
      <w:r w:rsidR="007345CE" w:rsidRPr="00A908E5">
        <w:rPr>
          <w:rFonts w:ascii="Times New Roman" w:hAnsi="Times New Roman" w:cs="Times New Roman"/>
          <w:noProof/>
          <w:sz w:val="24"/>
          <w:szCs w:val="24"/>
          <w:lang w:eastAsia="en-GB"/>
        </w:rPr>
        <w:t xml:space="preserve">indicated </w:t>
      </w:r>
      <w:r w:rsidR="007345CE">
        <w:rPr>
          <w:rFonts w:ascii="Times New Roman" w:hAnsi="Times New Roman" w:cs="Times New Roman"/>
          <w:noProof/>
          <w:sz w:val="24"/>
          <w:szCs w:val="24"/>
          <w:lang w:eastAsia="en-GB"/>
        </w:rPr>
        <w:t xml:space="preserve">that this aspect should be </w:t>
      </w:r>
      <w:r w:rsidR="007345CE" w:rsidRPr="00A908E5">
        <w:rPr>
          <w:rFonts w:ascii="Times New Roman" w:hAnsi="Times New Roman" w:cs="Times New Roman"/>
          <w:noProof/>
          <w:sz w:val="24"/>
          <w:szCs w:val="24"/>
          <w:lang w:eastAsia="en-GB"/>
        </w:rPr>
        <w:t xml:space="preserve">further </w:t>
      </w:r>
      <w:r w:rsidR="007345CE">
        <w:rPr>
          <w:rFonts w:ascii="Times New Roman" w:hAnsi="Times New Roman" w:cs="Times New Roman"/>
          <w:noProof/>
          <w:sz w:val="24"/>
          <w:szCs w:val="24"/>
          <w:lang w:eastAsia="en-GB"/>
        </w:rPr>
        <w:t>assessed</w:t>
      </w:r>
      <w:r w:rsidR="007345CE" w:rsidRPr="00A908E5">
        <w:rPr>
          <w:rFonts w:ascii="Times New Roman" w:hAnsi="Times New Roman" w:cs="Times New Roman"/>
          <w:noProof/>
          <w:sz w:val="24"/>
          <w:szCs w:val="24"/>
          <w:lang w:eastAsia="en-GB"/>
        </w:rPr>
        <w:t xml:space="preserve">, as the timing of the external study </w:t>
      </w:r>
      <w:r w:rsidR="007345CE">
        <w:rPr>
          <w:rFonts w:ascii="Times New Roman" w:hAnsi="Times New Roman" w:cs="Times New Roman"/>
          <w:noProof/>
          <w:sz w:val="24"/>
          <w:szCs w:val="24"/>
          <w:lang w:eastAsia="en-GB"/>
        </w:rPr>
        <w:t>meant that</w:t>
      </w:r>
      <w:r w:rsidR="007345CE" w:rsidRPr="00A908E5">
        <w:rPr>
          <w:rFonts w:ascii="Times New Roman" w:hAnsi="Times New Roman" w:cs="Times New Roman"/>
          <w:noProof/>
          <w:sz w:val="24"/>
          <w:szCs w:val="24"/>
          <w:lang w:eastAsia="en-GB"/>
        </w:rPr>
        <w:t xml:space="preserve"> limited data </w:t>
      </w:r>
      <w:r w:rsidR="007345CE">
        <w:rPr>
          <w:rFonts w:ascii="Times New Roman" w:hAnsi="Times New Roman" w:cs="Times New Roman"/>
          <w:noProof/>
          <w:sz w:val="24"/>
          <w:szCs w:val="24"/>
          <w:lang w:eastAsia="en-GB"/>
        </w:rPr>
        <w:t xml:space="preserve">were available </w:t>
      </w:r>
      <w:r w:rsidR="007345CE" w:rsidRPr="00A908E5">
        <w:rPr>
          <w:rFonts w:ascii="Times New Roman" w:hAnsi="Times New Roman" w:cs="Times New Roman"/>
          <w:noProof/>
          <w:sz w:val="24"/>
          <w:szCs w:val="24"/>
          <w:lang w:eastAsia="en-GB"/>
        </w:rPr>
        <w:t xml:space="preserve">on </w:t>
      </w:r>
      <w:r w:rsidR="007345CE">
        <w:rPr>
          <w:rFonts w:ascii="Times New Roman" w:hAnsi="Times New Roman" w:cs="Times New Roman"/>
          <w:noProof/>
          <w:sz w:val="24"/>
          <w:szCs w:val="24"/>
          <w:lang w:eastAsia="en-GB"/>
        </w:rPr>
        <w:t>this subject</w:t>
      </w:r>
      <w:r w:rsidR="007345CE" w:rsidRPr="00A908E5">
        <w:rPr>
          <w:rFonts w:ascii="Times New Roman" w:hAnsi="Times New Roman" w:cs="Times New Roman"/>
          <w:noProof/>
          <w:sz w:val="24"/>
          <w:szCs w:val="24"/>
          <w:lang w:eastAsia="en-GB"/>
        </w:rPr>
        <w:t>.</w:t>
      </w:r>
    </w:p>
    <w:p w14:paraId="0CF190FA" w14:textId="1C361DC5" w:rsidR="004F4FC0" w:rsidRPr="004D76DA" w:rsidRDefault="007345CE" w:rsidP="009A39FA">
      <w:pPr>
        <w:jc w:val="both"/>
        <w:rPr>
          <w:rFonts w:ascii="Times New Roman" w:hAnsi="Times New Roman" w:cs="Times New Roman"/>
          <w:noProof/>
          <w:sz w:val="24"/>
          <w:szCs w:val="24"/>
        </w:rPr>
      </w:pPr>
      <w:r>
        <w:rPr>
          <w:rFonts w:ascii="Times New Roman" w:hAnsi="Times New Roman" w:cs="Times New Roman"/>
          <w:noProof/>
          <w:sz w:val="24"/>
          <w:szCs w:val="24"/>
          <w:lang w:eastAsia="en-GB"/>
        </w:rPr>
        <w:t>When it came to</w:t>
      </w:r>
      <w:r w:rsidR="004F4FC0" w:rsidRPr="004D76DA">
        <w:rPr>
          <w:rFonts w:ascii="Times New Roman" w:hAnsi="Times New Roman" w:cs="Times New Roman"/>
          <w:noProof/>
          <w:sz w:val="24"/>
          <w:szCs w:val="24"/>
          <w:lang w:eastAsia="en-GB"/>
        </w:rPr>
        <w:t xml:space="preserve"> coherence, all national authorities’ stakeholders indicated no significant </w:t>
      </w:r>
      <w:r w:rsidR="004F4FC0" w:rsidRPr="004D76DA">
        <w:rPr>
          <w:rFonts w:ascii="Times New Roman" w:hAnsi="Times New Roman" w:cs="Times New Roman"/>
          <w:noProof/>
          <w:sz w:val="24"/>
          <w:szCs w:val="24"/>
        </w:rPr>
        <w:t xml:space="preserve">regulatory gaps linked to the </w:t>
      </w:r>
      <w:r w:rsidR="00694FCA">
        <w:rPr>
          <w:rFonts w:ascii="Times New Roman" w:hAnsi="Times New Roman" w:cs="Times New Roman"/>
          <w:noProof/>
          <w:sz w:val="24"/>
          <w:szCs w:val="24"/>
        </w:rPr>
        <w:t xml:space="preserve">CMLD </w:t>
      </w:r>
      <w:r w:rsidR="004F4FC0" w:rsidRPr="004D76DA">
        <w:rPr>
          <w:rFonts w:ascii="Times New Roman" w:hAnsi="Times New Roman" w:cs="Times New Roman"/>
          <w:noProof/>
          <w:sz w:val="24"/>
          <w:szCs w:val="24"/>
        </w:rPr>
        <w:t>beyond some minor</w:t>
      </w:r>
      <w:r w:rsidR="00DF6AD4">
        <w:rPr>
          <w:rFonts w:ascii="Times New Roman" w:hAnsi="Times New Roman" w:cs="Times New Roman"/>
          <w:noProof/>
          <w:sz w:val="24"/>
          <w:szCs w:val="24"/>
        </w:rPr>
        <w:t xml:space="preserve"> points requiring</w:t>
      </w:r>
      <w:r w:rsidR="004F4FC0" w:rsidRPr="004D76DA">
        <w:rPr>
          <w:rFonts w:ascii="Times New Roman" w:hAnsi="Times New Roman" w:cs="Times New Roman"/>
          <w:noProof/>
          <w:sz w:val="24"/>
          <w:szCs w:val="24"/>
        </w:rPr>
        <w:t xml:space="preserve"> improvement</w:t>
      </w:r>
      <w:r w:rsidR="00DF6AD4">
        <w:rPr>
          <w:rFonts w:ascii="Times New Roman" w:hAnsi="Times New Roman" w:cs="Times New Roman"/>
          <w:noProof/>
          <w:sz w:val="24"/>
          <w:szCs w:val="24"/>
        </w:rPr>
        <w:t>,</w:t>
      </w:r>
      <w:r w:rsidR="004F4FC0" w:rsidRPr="004D76DA">
        <w:rPr>
          <w:rFonts w:ascii="Times New Roman" w:hAnsi="Times New Roman" w:cs="Times New Roman"/>
          <w:noProof/>
          <w:sz w:val="24"/>
          <w:szCs w:val="24"/>
        </w:rPr>
        <w:t xml:space="preserve"> in particular</w:t>
      </w:r>
      <w:r w:rsidR="005F795E">
        <w:rPr>
          <w:rFonts w:ascii="Times New Roman" w:hAnsi="Times New Roman" w:cs="Times New Roman"/>
          <w:noProof/>
          <w:sz w:val="24"/>
          <w:szCs w:val="24"/>
        </w:rPr>
        <w:t>, the monitoring by</w:t>
      </w:r>
      <w:r w:rsidR="004F4FC0" w:rsidRPr="004D76DA">
        <w:rPr>
          <w:rFonts w:ascii="Times New Roman" w:hAnsi="Times New Roman" w:cs="Times New Roman"/>
          <w:noProof/>
          <w:sz w:val="24"/>
          <w:szCs w:val="24"/>
        </w:rPr>
        <w:t xml:space="preserve"> Asset Recovery Offices of the current balance of bank accounts. </w:t>
      </w:r>
      <w:r w:rsidR="003243B3">
        <w:rPr>
          <w:rFonts w:ascii="Times New Roman" w:hAnsi="Times New Roman" w:cs="Times New Roman"/>
          <w:noProof/>
          <w:sz w:val="24"/>
          <w:szCs w:val="24"/>
        </w:rPr>
        <w:t xml:space="preserve">The national authorities assessed </w:t>
      </w:r>
      <w:r w:rsidR="004F4FC0" w:rsidRPr="004D76DA">
        <w:rPr>
          <w:rFonts w:ascii="Times New Roman" w:hAnsi="Times New Roman" w:cs="Times New Roman"/>
          <w:noProof/>
          <w:sz w:val="24"/>
          <w:szCs w:val="24"/>
        </w:rPr>
        <w:t>internal coherence</w:t>
      </w:r>
      <w:r w:rsidR="003243B3">
        <w:rPr>
          <w:rFonts w:ascii="Times New Roman" w:hAnsi="Times New Roman" w:cs="Times New Roman"/>
          <w:noProof/>
          <w:sz w:val="24"/>
          <w:szCs w:val="24"/>
        </w:rPr>
        <w:t xml:space="preserve"> positively</w:t>
      </w:r>
      <w:r w:rsidR="004F4FC0" w:rsidRPr="004D76DA">
        <w:rPr>
          <w:rFonts w:ascii="Times New Roman" w:hAnsi="Times New Roman" w:cs="Times New Roman"/>
          <w:noProof/>
          <w:sz w:val="24"/>
          <w:szCs w:val="24"/>
        </w:rPr>
        <w:t xml:space="preserve">. Regarding external coherence, all branches of the national authorities </w:t>
      </w:r>
      <w:r w:rsidR="002C0EE1">
        <w:rPr>
          <w:rFonts w:ascii="Times New Roman" w:hAnsi="Times New Roman" w:cs="Times New Roman"/>
          <w:noProof/>
          <w:sz w:val="24"/>
          <w:szCs w:val="24"/>
        </w:rPr>
        <w:t>were</w:t>
      </w:r>
      <w:r w:rsidR="004F4FC0" w:rsidRPr="004D76DA">
        <w:rPr>
          <w:rFonts w:ascii="Times New Roman" w:hAnsi="Times New Roman" w:cs="Times New Roman"/>
          <w:noProof/>
          <w:sz w:val="24"/>
          <w:szCs w:val="24"/>
        </w:rPr>
        <w:t xml:space="preserve"> generally aligned</w:t>
      </w:r>
      <w:r w:rsidR="002C0EE1">
        <w:rPr>
          <w:rFonts w:ascii="Times New Roman" w:hAnsi="Times New Roman" w:cs="Times New Roman"/>
          <w:noProof/>
          <w:sz w:val="24"/>
          <w:szCs w:val="24"/>
        </w:rPr>
        <w:t>:</w:t>
      </w:r>
      <w:r w:rsidR="004F4FC0" w:rsidRPr="004D76DA">
        <w:rPr>
          <w:rFonts w:ascii="Times New Roman" w:hAnsi="Times New Roman" w:cs="Times New Roman"/>
          <w:noProof/>
          <w:sz w:val="24"/>
          <w:szCs w:val="24"/>
        </w:rPr>
        <w:t xml:space="preserve"> the JAs, LEAs and Asset Recovery Offices all indicate</w:t>
      </w:r>
      <w:r w:rsidR="002C0EE1">
        <w:rPr>
          <w:rFonts w:ascii="Times New Roman" w:hAnsi="Times New Roman" w:cs="Times New Roman"/>
          <w:noProof/>
          <w:sz w:val="24"/>
          <w:szCs w:val="24"/>
        </w:rPr>
        <w:t>d</w:t>
      </w:r>
      <w:r w:rsidR="004F4FC0" w:rsidRPr="004D76DA">
        <w:rPr>
          <w:rFonts w:ascii="Times New Roman" w:hAnsi="Times New Roman" w:cs="Times New Roman"/>
          <w:noProof/>
          <w:sz w:val="24"/>
          <w:szCs w:val="24"/>
        </w:rPr>
        <w:t xml:space="preserve"> that the </w:t>
      </w:r>
      <w:r w:rsidR="00694FCA">
        <w:rPr>
          <w:rFonts w:ascii="Times New Roman" w:hAnsi="Times New Roman" w:cs="Times New Roman"/>
          <w:noProof/>
          <w:sz w:val="24"/>
          <w:szCs w:val="24"/>
        </w:rPr>
        <w:t>CMLD Directive</w:t>
      </w:r>
      <w:r w:rsidR="004F4FC0" w:rsidRPr="004D76DA">
        <w:rPr>
          <w:rFonts w:ascii="Times New Roman" w:hAnsi="Times New Roman" w:cs="Times New Roman"/>
          <w:noProof/>
          <w:sz w:val="24"/>
          <w:szCs w:val="24"/>
        </w:rPr>
        <w:t xml:space="preserve"> </w:t>
      </w:r>
      <w:r w:rsidR="00DC4B52">
        <w:rPr>
          <w:rFonts w:ascii="Times New Roman" w:hAnsi="Times New Roman" w:cs="Times New Roman"/>
          <w:noProof/>
          <w:sz w:val="24"/>
          <w:szCs w:val="24"/>
        </w:rPr>
        <w:t>did</w:t>
      </w:r>
      <w:r w:rsidR="00DC4B52" w:rsidRPr="004D76DA">
        <w:rPr>
          <w:rFonts w:ascii="Times New Roman" w:hAnsi="Times New Roman" w:cs="Times New Roman"/>
          <w:noProof/>
          <w:sz w:val="24"/>
          <w:szCs w:val="24"/>
        </w:rPr>
        <w:t xml:space="preserve"> </w:t>
      </w:r>
      <w:r w:rsidR="004F4FC0" w:rsidRPr="004D76DA">
        <w:rPr>
          <w:rFonts w:ascii="Times New Roman" w:hAnsi="Times New Roman" w:cs="Times New Roman"/>
          <w:noProof/>
          <w:sz w:val="24"/>
          <w:szCs w:val="24"/>
        </w:rPr>
        <w:t xml:space="preserve">not affect international cooperation given </w:t>
      </w:r>
      <w:r w:rsidR="00DC4B52">
        <w:rPr>
          <w:rFonts w:ascii="Times New Roman" w:hAnsi="Times New Roman" w:cs="Times New Roman"/>
          <w:noProof/>
          <w:sz w:val="24"/>
          <w:szCs w:val="24"/>
        </w:rPr>
        <w:t>its</w:t>
      </w:r>
      <w:r w:rsidR="00DC4B52" w:rsidRPr="004D76DA">
        <w:rPr>
          <w:rFonts w:ascii="Times New Roman" w:hAnsi="Times New Roman" w:cs="Times New Roman"/>
          <w:noProof/>
          <w:sz w:val="24"/>
          <w:szCs w:val="24"/>
        </w:rPr>
        <w:t xml:space="preserve"> </w:t>
      </w:r>
      <w:r w:rsidR="004F4FC0" w:rsidRPr="004D76DA">
        <w:rPr>
          <w:rFonts w:ascii="Times New Roman" w:hAnsi="Times New Roman" w:cs="Times New Roman"/>
          <w:noProof/>
          <w:sz w:val="24"/>
          <w:szCs w:val="24"/>
        </w:rPr>
        <w:t xml:space="preserve">sole European focus, </w:t>
      </w:r>
      <w:r w:rsidR="00F93BC4" w:rsidRPr="00F93BC4">
        <w:rPr>
          <w:rFonts w:ascii="Times New Roman" w:hAnsi="Times New Roman" w:cs="Times New Roman"/>
          <w:noProof/>
          <w:sz w:val="24"/>
          <w:szCs w:val="24"/>
        </w:rPr>
        <w:t xml:space="preserve">contributing only moderately </w:t>
      </w:r>
      <w:r w:rsidR="004F4FC0" w:rsidRPr="004D76DA">
        <w:rPr>
          <w:rFonts w:ascii="Times New Roman" w:hAnsi="Times New Roman" w:cs="Times New Roman"/>
          <w:noProof/>
          <w:sz w:val="24"/>
          <w:szCs w:val="24"/>
        </w:rPr>
        <w:t xml:space="preserve">given pre-existing national provisions on the matter. Nevertheless, some elements of the </w:t>
      </w:r>
      <w:r w:rsidR="00694FCA">
        <w:rPr>
          <w:rFonts w:ascii="Times New Roman" w:hAnsi="Times New Roman" w:cs="Times New Roman"/>
          <w:noProof/>
          <w:sz w:val="24"/>
          <w:szCs w:val="24"/>
        </w:rPr>
        <w:t xml:space="preserve">CMLD </w:t>
      </w:r>
      <w:r w:rsidR="004F4FC0" w:rsidRPr="004D76DA">
        <w:rPr>
          <w:rFonts w:ascii="Times New Roman" w:hAnsi="Times New Roman" w:cs="Times New Roman"/>
          <w:noProof/>
          <w:sz w:val="24"/>
          <w:szCs w:val="24"/>
        </w:rPr>
        <w:t xml:space="preserve">affect </w:t>
      </w:r>
      <w:r w:rsidR="00523AE7">
        <w:rPr>
          <w:rFonts w:ascii="Times New Roman" w:hAnsi="Times New Roman" w:cs="Times New Roman"/>
          <w:noProof/>
          <w:sz w:val="24"/>
          <w:szCs w:val="24"/>
        </w:rPr>
        <w:t>its</w:t>
      </w:r>
      <w:r w:rsidR="00523AE7" w:rsidRPr="004D76DA">
        <w:rPr>
          <w:rFonts w:ascii="Times New Roman" w:hAnsi="Times New Roman" w:cs="Times New Roman"/>
          <w:noProof/>
          <w:sz w:val="24"/>
          <w:szCs w:val="24"/>
        </w:rPr>
        <w:t xml:space="preserve"> </w:t>
      </w:r>
      <w:r w:rsidR="004F4FC0" w:rsidRPr="004D76DA">
        <w:rPr>
          <w:rFonts w:ascii="Times New Roman" w:hAnsi="Times New Roman" w:cs="Times New Roman"/>
          <w:noProof/>
          <w:sz w:val="24"/>
          <w:szCs w:val="24"/>
        </w:rPr>
        <w:t xml:space="preserve">external coherence of the Directive, </w:t>
      </w:r>
      <w:r w:rsidR="00523AE7">
        <w:rPr>
          <w:rFonts w:ascii="Times New Roman" w:hAnsi="Times New Roman" w:cs="Times New Roman"/>
          <w:noProof/>
          <w:sz w:val="24"/>
          <w:szCs w:val="24"/>
        </w:rPr>
        <w:t>in particular</w:t>
      </w:r>
      <w:r w:rsidR="004F4FC0" w:rsidRPr="004D76DA">
        <w:rPr>
          <w:rFonts w:ascii="Times New Roman" w:hAnsi="Times New Roman" w:cs="Times New Roman"/>
          <w:noProof/>
          <w:sz w:val="24"/>
          <w:szCs w:val="24"/>
        </w:rPr>
        <w:t xml:space="preserve"> the provisions on the scope of predicate offences. </w:t>
      </w:r>
    </w:p>
    <w:p w14:paraId="2A537C8C" w14:textId="1BA96BBE" w:rsidR="004F4FC0" w:rsidRPr="004D76DA" w:rsidRDefault="004F4FC0" w:rsidP="009A39FA">
      <w:pPr>
        <w:jc w:val="both"/>
        <w:rPr>
          <w:rFonts w:ascii="Times New Roman" w:hAnsi="Times New Roman" w:cs="Times New Roman"/>
          <w:noProof/>
          <w:sz w:val="24"/>
          <w:szCs w:val="24"/>
        </w:rPr>
      </w:pPr>
      <w:r w:rsidRPr="004D76DA">
        <w:rPr>
          <w:rFonts w:ascii="Times New Roman" w:hAnsi="Times New Roman" w:cs="Times New Roman"/>
          <w:noProof/>
          <w:sz w:val="24"/>
          <w:szCs w:val="24"/>
        </w:rPr>
        <w:t xml:space="preserve">Mirroring the aforementioned availability of pre-existing provisions, national authorities </w:t>
      </w:r>
      <w:r w:rsidR="00523AE7">
        <w:rPr>
          <w:rFonts w:ascii="Times New Roman" w:hAnsi="Times New Roman" w:cs="Times New Roman"/>
          <w:noProof/>
          <w:sz w:val="24"/>
          <w:szCs w:val="24"/>
        </w:rPr>
        <w:t>had different</w:t>
      </w:r>
      <w:r w:rsidRPr="004D76DA">
        <w:rPr>
          <w:rFonts w:ascii="Times New Roman" w:hAnsi="Times New Roman" w:cs="Times New Roman"/>
          <w:noProof/>
          <w:sz w:val="24"/>
          <w:szCs w:val="24"/>
        </w:rPr>
        <w:t xml:space="preserve"> view</w:t>
      </w:r>
      <w:r w:rsidR="00523AE7">
        <w:rPr>
          <w:rFonts w:ascii="Times New Roman" w:hAnsi="Times New Roman" w:cs="Times New Roman"/>
          <w:noProof/>
          <w:sz w:val="24"/>
          <w:szCs w:val="24"/>
        </w:rPr>
        <w:t>s</w:t>
      </w:r>
      <w:r w:rsidRPr="004D76DA">
        <w:rPr>
          <w:rFonts w:ascii="Times New Roman" w:hAnsi="Times New Roman" w:cs="Times New Roman"/>
          <w:noProof/>
          <w:sz w:val="24"/>
          <w:szCs w:val="24"/>
        </w:rPr>
        <w:t xml:space="preserve"> on the EU added value of </w:t>
      </w:r>
      <w:r w:rsidR="009238CE">
        <w:rPr>
          <w:rFonts w:ascii="Times New Roman" w:hAnsi="Times New Roman" w:cs="Times New Roman"/>
          <w:noProof/>
          <w:sz w:val="24"/>
          <w:szCs w:val="24"/>
        </w:rPr>
        <w:t xml:space="preserve">the </w:t>
      </w:r>
      <w:r w:rsidR="00694FCA">
        <w:rPr>
          <w:rFonts w:ascii="Times New Roman" w:hAnsi="Times New Roman" w:cs="Times New Roman"/>
          <w:noProof/>
          <w:sz w:val="24"/>
          <w:szCs w:val="24"/>
        </w:rPr>
        <w:t>CMLD</w:t>
      </w:r>
      <w:r w:rsidRPr="004D76DA">
        <w:rPr>
          <w:rFonts w:ascii="Times New Roman" w:hAnsi="Times New Roman" w:cs="Times New Roman"/>
          <w:noProof/>
          <w:sz w:val="24"/>
          <w:szCs w:val="24"/>
        </w:rPr>
        <w:t>. Whilst some national authorities highlighted further harmonisation across the EU, other stakeholders reported that given the pre-existing regulatory framework</w:t>
      </w:r>
      <w:r w:rsidR="009238CE">
        <w:rPr>
          <w:rFonts w:ascii="Times New Roman" w:hAnsi="Times New Roman" w:cs="Times New Roman"/>
          <w:noProof/>
          <w:sz w:val="24"/>
          <w:szCs w:val="24"/>
        </w:rPr>
        <w:t>,</w:t>
      </w:r>
      <w:r w:rsidRPr="004D76DA">
        <w:rPr>
          <w:rFonts w:ascii="Times New Roman" w:hAnsi="Times New Roman" w:cs="Times New Roman"/>
          <w:noProof/>
          <w:sz w:val="24"/>
          <w:szCs w:val="24"/>
        </w:rPr>
        <w:t xml:space="preserve"> the added value of the </w:t>
      </w:r>
      <w:r w:rsidR="00694FCA">
        <w:rPr>
          <w:rFonts w:ascii="Times New Roman" w:hAnsi="Times New Roman" w:cs="Times New Roman"/>
          <w:noProof/>
          <w:sz w:val="24"/>
          <w:szCs w:val="24"/>
        </w:rPr>
        <w:t xml:space="preserve">CMLD </w:t>
      </w:r>
      <w:r w:rsidRPr="004D76DA">
        <w:rPr>
          <w:rFonts w:ascii="Times New Roman" w:hAnsi="Times New Roman" w:cs="Times New Roman"/>
          <w:noProof/>
          <w:sz w:val="24"/>
          <w:szCs w:val="24"/>
        </w:rPr>
        <w:t>was limited. The same split holds true for the assessment of additional reforms sparked by the Directive, with all JAs reporting no additional reforms, whilst 62% of the LE</w:t>
      </w:r>
      <w:r w:rsidR="006C737B">
        <w:rPr>
          <w:rFonts w:ascii="Times New Roman" w:hAnsi="Times New Roman" w:cs="Times New Roman"/>
          <w:noProof/>
          <w:sz w:val="24"/>
          <w:szCs w:val="24"/>
        </w:rPr>
        <w:t>A</w:t>
      </w:r>
      <w:r w:rsidRPr="004D76DA">
        <w:rPr>
          <w:rFonts w:ascii="Times New Roman" w:hAnsi="Times New Roman" w:cs="Times New Roman"/>
          <w:noProof/>
          <w:sz w:val="24"/>
          <w:szCs w:val="24"/>
        </w:rPr>
        <w:t xml:space="preserve">s stated that the transposition of the </w:t>
      </w:r>
      <w:r w:rsidR="00694FCA">
        <w:rPr>
          <w:rFonts w:ascii="Times New Roman" w:hAnsi="Times New Roman" w:cs="Times New Roman"/>
          <w:noProof/>
          <w:sz w:val="24"/>
          <w:szCs w:val="24"/>
        </w:rPr>
        <w:t xml:space="preserve">CMLD </w:t>
      </w:r>
      <w:r w:rsidRPr="004D76DA">
        <w:rPr>
          <w:rFonts w:ascii="Times New Roman" w:hAnsi="Times New Roman" w:cs="Times New Roman"/>
          <w:noProof/>
          <w:sz w:val="24"/>
          <w:szCs w:val="24"/>
        </w:rPr>
        <w:t xml:space="preserve">prompted reforms in the area of AML and </w:t>
      </w:r>
      <w:r w:rsidR="00171E27">
        <w:rPr>
          <w:rFonts w:ascii="Times New Roman" w:hAnsi="Times New Roman" w:cs="Times New Roman"/>
          <w:noProof/>
          <w:sz w:val="24"/>
          <w:szCs w:val="24"/>
        </w:rPr>
        <w:t>the contrast to terrorism financing</w:t>
      </w:r>
      <w:r w:rsidRPr="004D76DA">
        <w:rPr>
          <w:rFonts w:ascii="Times New Roman" w:hAnsi="Times New Roman" w:cs="Times New Roman"/>
          <w:noProof/>
          <w:sz w:val="24"/>
          <w:szCs w:val="24"/>
        </w:rPr>
        <w:t xml:space="preserve">. </w:t>
      </w:r>
    </w:p>
    <w:p w14:paraId="2C6DCE80" w14:textId="7593A8BE" w:rsidR="004F4FC0" w:rsidRPr="004D76DA" w:rsidRDefault="004F4FC0" w:rsidP="009A39FA">
      <w:pPr>
        <w:jc w:val="both"/>
        <w:rPr>
          <w:rFonts w:ascii="Times New Roman" w:hAnsi="Times New Roman" w:cs="Times New Roman"/>
          <w:noProof/>
          <w:sz w:val="24"/>
          <w:szCs w:val="24"/>
        </w:rPr>
      </w:pPr>
      <w:r w:rsidRPr="004D76DA">
        <w:rPr>
          <w:rFonts w:ascii="Times New Roman" w:hAnsi="Times New Roman" w:cs="Times New Roman"/>
          <w:noProof/>
          <w:sz w:val="24"/>
          <w:szCs w:val="24"/>
        </w:rPr>
        <w:t xml:space="preserve">Finally, regarding relevance, national authorities generally indicated </w:t>
      </w:r>
      <w:r w:rsidR="006B15CC">
        <w:rPr>
          <w:rFonts w:ascii="Times New Roman" w:hAnsi="Times New Roman" w:cs="Times New Roman"/>
          <w:noProof/>
          <w:sz w:val="24"/>
          <w:szCs w:val="24"/>
        </w:rPr>
        <w:t xml:space="preserve">not only </w:t>
      </w:r>
      <w:r w:rsidRPr="004D76DA">
        <w:rPr>
          <w:rFonts w:ascii="Times New Roman" w:hAnsi="Times New Roman" w:cs="Times New Roman"/>
          <w:noProof/>
          <w:sz w:val="24"/>
          <w:szCs w:val="24"/>
        </w:rPr>
        <w:t xml:space="preserve">that the </w:t>
      </w:r>
      <w:r w:rsidR="00694FCA">
        <w:rPr>
          <w:rFonts w:ascii="Times New Roman" w:hAnsi="Times New Roman" w:cs="Times New Roman"/>
          <w:noProof/>
          <w:sz w:val="24"/>
          <w:szCs w:val="24"/>
        </w:rPr>
        <w:t xml:space="preserve">CMLD </w:t>
      </w:r>
      <w:r w:rsidRPr="004D76DA">
        <w:rPr>
          <w:rFonts w:ascii="Times New Roman" w:hAnsi="Times New Roman" w:cs="Times New Roman"/>
          <w:noProof/>
          <w:sz w:val="24"/>
          <w:szCs w:val="24"/>
        </w:rPr>
        <w:t>addressed current and future threats</w:t>
      </w:r>
      <w:r w:rsidR="008B3E8F">
        <w:rPr>
          <w:rFonts w:ascii="Times New Roman" w:hAnsi="Times New Roman" w:cs="Times New Roman"/>
          <w:noProof/>
          <w:sz w:val="24"/>
          <w:szCs w:val="24"/>
        </w:rPr>
        <w:t xml:space="preserve"> sufficiently</w:t>
      </w:r>
      <w:r w:rsidRPr="004D76DA">
        <w:rPr>
          <w:rFonts w:ascii="Times New Roman" w:hAnsi="Times New Roman" w:cs="Times New Roman"/>
          <w:noProof/>
          <w:sz w:val="24"/>
          <w:szCs w:val="24"/>
        </w:rPr>
        <w:t xml:space="preserve">, </w:t>
      </w:r>
      <w:r w:rsidR="008B3E8F">
        <w:rPr>
          <w:rFonts w:ascii="Times New Roman" w:hAnsi="Times New Roman" w:cs="Times New Roman"/>
          <w:noProof/>
          <w:sz w:val="24"/>
          <w:szCs w:val="24"/>
        </w:rPr>
        <w:t>but was also</w:t>
      </w:r>
      <w:r w:rsidRPr="004D76DA">
        <w:rPr>
          <w:rFonts w:ascii="Times New Roman" w:hAnsi="Times New Roman" w:cs="Times New Roman"/>
          <w:noProof/>
          <w:sz w:val="24"/>
          <w:szCs w:val="24"/>
        </w:rPr>
        <w:t xml:space="preserve"> future-proof given recent development and anticipated trends such as AI, virtual currencies and crypto. Nonetheless, some significant potential issues were raised</w:t>
      </w:r>
      <w:r w:rsidR="008B3E8F">
        <w:rPr>
          <w:rFonts w:ascii="Times New Roman" w:hAnsi="Times New Roman" w:cs="Times New Roman"/>
          <w:noProof/>
          <w:sz w:val="24"/>
          <w:szCs w:val="24"/>
        </w:rPr>
        <w:t>. For example,</w:t>
      </w:r>
      <w:r w:rsidRPr="004D76DA">
        <w:rPr>
          <w:rFonts w:ascii="Times New Roman" w:hAnsi="Times New Roman" w:cs="Times New Roman"/>
          <w:noProof/>
          <w:sz w:val="24"/>
          <w:szCs w:val="24"/>
        </w:rPr>
        <w:t xml:space="preserve"> LEAs highlighted the lack of clear provisions on what constitutes a predicate offence or self-laund</w:t>
      </w:r>
      <w:r w:rsidR="006C737B">
        <w:rPr>
          <w:rFonts w:ascii="Times New Roman" w:hAnsi="Times New Roman" w:cs="Times New Roman"/>
          <w:noProof/>
          <w:sz w:val="24"/>
          <w:szCs w:val="24"/>
        </w:rPr>
        <w:t>e</w:t>
      </w:r>
      <w:r w:rsidRPr="004D76DA">
        <w:rPr>
          <w:rFonts w:ascii="Times New Roman" w:hAnsi="Times New Roman" w:cs="Times New Roman"/>
          <w:noProof/>
          <w:sz w:val="24"/>
          <w:szCs w:val="24"/>
        </w:rPr>
        <w:t xml:space="preserve">ring.  </w:t>
      </w:r>
    </w:p>
    <w:p w14:paraId="515D15C3" w14:textId="7F927E0A"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 xml:space="preserve">The </w:t>
      </w:r>
      <w:r w:rsidRPr="004D76DA">
        <w:rPr>
          <w:rFonts w:ascii="Times New Roman" w:hAnsi="Times New Roman" w:cs="Times New Roman"/>
          <w:b/>
          <w:noProof/>
          <w:sz w:val="24"/>
          <w:szCs w:val="24"/>
          <w:lang w:eastAsia="en-GB"/>
        </w:rPr>
        <w:t xml:space="preserve">European </w:t>
      </w:r>
      <w:r w:rsidR="00911EDF">
        <w:rPr>
          <w:rFonts w:ascii="Times New Roman" w:hAnsi="Times New Roman" w:cs="Times New Roman"/>
          <w:b/>
          <w:noProof/>
          <w:sz w:val="24"/>
          <w:szCs w:val="24"/>
          <w:lang w:eastAsia="en-GB"/>
        </w:rPr>
        <w:t>a</w:t>
      </w:r>
      <w:r w:rsidRPr="004D76DA">
        <w:rPr>
          <w:rFonts w:ascii="Times New Roman" w:hAnsi="Times New Roman" w:cs="Times New Roman"/>
          <w:b/>
          <w:noProof/>
          <w:sz w:val="24"/>
          <w:szCs w:val="24"/>
          <w:lang w:eastAsia="en-GB"/>
        </w:rPr>
        <w:t>ssociations</w:t>
      </w:r>
      <w:r w:rsidRPr="004D76DA">
        <w:rPr>
          <w:rFonts w:ascii="Times New Roman" w:hAnsi="Times New Roman" w:cs="Times New Roman"/>
          <w:noProof/>
          <w:sz w:val="24"/>
          <w:szCs w:val="24"/>
          <w:lang w:eastAsia="en-GB"/>
        </w:rPr>
        <w:t xml:space="preserve"> gave insights into the views of the private sector</w:t>
      </w:r>
      <w:r w:rsidR="00507EDD">
        <w:rPr>
          <w:rFonts w:ascii="Times New Roman" w:hAnsi="Times New Roman" w:cs="Times New Roman"/>
          <w:noProof/>
          <w:sz w:val="24"/>
          <w:szCs w:val="24"/>
          <w:lang w:eastAsia="en-GB"/>
        </w:rPr>
        <w:t xml:space="preserve">, which </w:t>
      </w:r>
      <w:r w:rsidR="005114CE">
        <w:rPr>
          <w:rFonts w:ascii="Times New Roman" w:hAnsi="Times New Roman" w:cs="Times New Roman"/>
          <w:noProof/>
          <w:sz w:val="24"/>
          <w:szCs w:val="24"/>
          <w:lang w:eastAsia="en-GB"/>
        </w:rPr>
        <w:t>wa</w:t>
      </w:r>
      <w:r w:rsidR="00507EDD">
        <w:rPr>
          <w:rFonts w:ascii="Times New Roman" w:hAnsi="Times New Roman" w:cs="Times New Roman"/>
          <w:noProof/>
          <w:sz w:val="24"/>
          <w:szCs w:val="24"/>
          <w:lang w:eastAsia="en-GB"/>
        </w:rPr>
        <w:t xml:space="preserve">s also </w:t>
      </w:r>
      <w:r w:rsidR="00BD69F8">
        <w:rPr>
          <w:rFonts w:ascii="Times New Roman" w:hAnsi="Times New Roman" w:cs="Times New Roman"/>
          <w:noProof/>
          <w:sz w:val="24"/>
          <w:szCs w:val="24"/>
          <w:lang w:eastAsia="en-GB"/>
        </w:rPr>
        <w:t>impacted</w:t>
      </w:r>
      <w:r w:rsidRPr="004D76DA">
        <w:rPr>
          <w:rFonts w:ascii="Times New Roman" w:hAnsi="Times New Roman" w:cs="Times New Roman"/>
          <w:noProof/>
          <w:sz w:val="24"/>
          <w:szCs w:val="24"/>
          <w:lang w:eastAsia="en-GB"/>
        </w:rPr>
        <w:t xml:space="preserve"> by the Directive’s provisions. In particular, they contributed important insights regarding coherence, flagging</w:t>
      </w:r>
      <w:r w:rsidR="00354AE7">
        <w:rPr>
          <w:rFonts w:ascii="Times New Roman" w:hAnsi="Times New Roman" w:cs="Times New Roman"/>
          <w:noProof/>
          <w:sz w:val="24"/>
          <w:szCs w:val="24"/>
          <w:lang w:eastAsia="en-GB"/>
        </w:rPr>
        <w:t xml:space="preserve"> up</w:t>
      </w:r>
      <w:r w:rsidRPr="004D76DA">
        <w:rPr>
          <w:rFonts w:ascii="Times New Roman" w:hAnsi="Times New Roman" w:cs="Times New Roman"/>
          <w:noProof/>
          <w:sz w:val="24"/>
          <w:szCs w:val="24"/>
          <w:lang w:eastAsia="en-GB"/>
        </w:rPr>
        <w:t xml:space="preserve"> the importance </w:t>
      </w:r>
      <w:r w:rsidR="00354AE7">
        <w:rPr>
          <w:rFonts w:ascii="Times New Roman" w:hAnsi="Times New Roman" w:cs="Times New Roman"/>
          <w:noProof/>
          <w:sz w:val="24"/>
          <w:szCs w:val="24"/>
          <w:lang w:eastAsia="en-GB"/>
        </w:rPr>
        <w:t>of</w:t>
      </w:r>
      <w:r w:rsidR="00354AE7"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improv</w:t>
      </w:r>
      <w:r w:rsidR="00354AE7">
        <w:rPr>
          <w:rFonts w:ascii="Times New Roman" w:hAnsi="Times New Roman" w:cs="Times New Roman"/>
          <w:noProof/>
          <w:sz w:val="24"/>
          <w:szCs w:val="24"/>
          <w:lang w:eastAsia="en-GB"/>
        </w:rPr>
        <w:t>ing</w:t>
      </w:r>
      <w:r w:rsidRPr="004D76DA">
        <w:rPr>
          <w:rFonts w:ascii="Times New Roman" w:hAnsi="Times New Roman" w:cs="Times New Roman"/>
          <w:noProof/>
          <w:sz w:val="24"/>
          <w:szCs w:val="24"/>
          <w:lang w:eastAsia="en-GB"/>
        </w:rPr>
        <w:t xml:space="preserve"> the wording regarding the link between the </w:t>
      </w:r>
      <w:r w:rsidR="00694FCA">
        <w:rPr>
          <w:rFonts w:ascii="Times New Roman" w:hAnsi="Times New Roman" w:cs="Times New Roman"/>
          <w:noProof/>
          <w:sz w:val="24"/>
          <w:szCs w:val="24"/>
          <w:lang w:eastAsia="en-GB"/>
        </w:rPr>
        <w:t xml:space="preserve">CMLD </w:t>
      </w:r>
      <w:r w:rsidRPr="004D76DA">
        <w:rPr>
          <w:rFonts w:ascii="Times New Roman" w:hAnsi="Times New Roman" w:cs="Times New Roman"/>
          <w:noProof/>
          <w:sz w:val="24"/>
          <w:szCs w:val="24"/>
          <w:lang w:eastAsia="en-GB"/>
        </w:rPr>
        <w:t>and Directive 2014/42/EU on</w:t>
      </w:r>
      <w:r w:rsidR="00354AE7">
        <w:rPr>
          <w:rFonts w:ascii="Times New Roman" w:hAnsi="Times New Roman" w:cs="Times New Roman"/>
          <w:noProof/>
          <w:sz w:val="24"/>
          <w:szCs w:val="24"/>
          <w:lang w:eastAsia="en-GB"/>
        </w:rPr>
        <w:t xml:space="preserve"> the</w:t>
      </w:r>
      <w:r w:rsidRPr="004D76DA">
        <w:rPr>
          <w:rFonts w:ascii="Times New Roman" w:hAnsi="Times New Roman" w:cs="Times New Roman"/>
          <w:noProof/>
          <w:sz w:val="24"/>
          <w:szCs w:val="24"/>
          <w:lang w:eastAsia="en-GB"/>
        </w:rPr>
        <w:t xml:space="preserve"> freezing</w:t>
      </w:r>
      <w:r w:rsidR="00354AE7">
        <w:rPr>
          <w:rFonts w:ascii="Times New Roman" w:hAnsi="Times New Roman" w:cs="Times New Roman"/>
          <w:noProof/>
          <w:sz w:val="24"/>
          <w:szCs w:val="24"/>
          <w:lang w:eastAsia="en-GB"/>
        </w:rPr>
        <w:t xml:space="preserve"> and confiscation of proceeds of crime in the European Union</w:t>
      </w:r>
      <w:r w:rsidRPr="004D76DA">
        <w:rPr>
          <w:rFonts w:ascii="Times New Roman" w:hAnsi="Times New Roman" w:cs="Times New Roman"/>
          <w:noProof/>
          <w:sz w:val="24"/>
          <w:szCs w:val="24"/>
          <w:lang w:eastAsia="en-GB"/>
        </w:rPr>
        <w:t xml:space="preserve">. </w:t>
      </w:r>
    </w:p>
    <w:p w14:paraId="5FDDC366" w14:textId="33EB5845"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 xml:space="preserve">The final stakeholder group consulted in the context of </w:t>
      </w:r>
      <w:r w:rsidR="00252820" w:rsidRPr="004D76DA">
        <w:rPr>
          <w:rFonts w:ascii="Times New Roman" w:hAnsi="Times New Roman" w:cs="Times New Roman"/>
          <w:noProof/>
          <w:sz w:val="24"/>
          <w:szCs w:val="24"/>
          <w:lang w:eastAsia="en-GB"/>
        </w:rPr>
        <w:t>the</w:t>
      </w:r>
      <w:r w:rsidRPr="004D76DA">
        <w:rPr>
          <w:rFonts w:ascii="Times New Roman" w:hAnsi="Times New Roman" w:cs="Times New Roman"/>
          <w:noProof/>
          <w:sz w:val="24"/>
          <w:szCs w:val="24"/>
          <w:lang w:eastAsia="en-GB"/>
        </w:rPr>
        <w:t xml:space="preserve"> study </w:t>
      </w:r>
      <w:r w:rsidR="00252820" w:rsidRPr="004D76DA">
        <w:rPr>
          <w:rFonts w:ascii="Times New Roman" w:hAnsi="Times New Roman" w:cs="Times New Roman"/>
          <w:noProof/>
          <w:sz w:val="24"/>
          <w:szCs w:val="24"/>
          <w:lang w:eastAsia="en-GB"/>
        </w:rPr>
        <w:t>supporting the evaluation</w:t>
      </w:r>
      <w:r w:rsidRPr="004D76DA">
        <w:rPr>
          <w:rFonts w:ascii="Times New Roman" w:hAnsi="Times New Roman" w:cs="Times New Roman"/>
          <w:noProof/>
          <w:sz w:val="24"/>
          <w:szCs w:val="24"/>
          <w:lang w:eastAsia="en-GB"/>
        </w:rPr>
        <w:t xml:space="preserve"> </w:t>
      </w:r>
      <w:r w:rsidR="005114CE">
        <w:rPr>
          <w:rFonts w:ascii="Times New Roman" w:hAnsi="Times New Roman" w:cs="Times New Roman"/>
          <w:noProof/>
          <w:sz w:val="24"/>
          <w:szCs w:val="24"/>
          <w:lang w:eastAsia="en-GB"/>
        </w:rPr>
        <w:t>consisted</w:t>
      </w:r>
      <w:r w:rsidRPr="004D76DA">
        <w:rPr>
          <w:rFonts w:ascii="Times New Roman" w:hAnsi="Times New Roman" w:cs="Times New Roman"/>
          <w:noProof/>
          <w:sz w:val="24"/>
          <w:szCs w:val="24"/>
          <w:lang w:eastAsia="en-GB"/>
        </w:rPr>
        <w:t xml:space="preserve"> of </w:t>
      </w:r>
      <w:r w:rsidRPr="004D76DA">
        <w:rPr>
          <w:rFonts w:ascii="Times New Roman" w:hAnsi="Times New Roman" w:cs="Times New Roman"/>
          <w:b/>
          <w:noProof/>
          <w:sz w:val="24"/>
          <w:szCs w:val="24"/>
          <w:lang w:eastAsia="en-GB"/>
        </w:rPr>
        <w:t>NGOs, think-tanks and academic institutions</w:t>
      </w:r>
      <w:r w:rsidRPr="004D76DA">
        <w:rPr>
          <w:rFonts w:ascii="Times New Roman" w:hAnsi="Times New Roman" w:cs="Times New Roman"/>
          <w:noProof/>
          <w:sz w:val="24"/>
          <w:szCs w:val="24"/>
          <w:lang w:eastAsia="en-GB"/>
        </w:rPr>
        <w:t xml:space="preserve">. This stakeholder group contributed to </w:t>
      </w:r>
      <w:r w:rsidR="00BE404B">
        <w:rPr>
          <w:rFonts w:ascii="Times New Roman" w:hAnsi="Times New Roman" w:cs="Times New Roman"/>
          <w:noProof/>
          <w:sz w:val="24"/>
          <w:szCs w:val="24"/>
          <w:lang w:eastAsia="en-GB"/>
        </w:rPr>
        <w:t xml:space="preserve">the </w:t>
      </w:r>
      <w:r w:rsidRPr="004D76DA">
        <w:rPr>
          <w:rFonts w:ascii="Times New Roman" w:hAnsi="Times New Roman" w:cs="Times New Roman"/>
          <w:noProof/>
          <w:sz w:val="24"/>
          <w:szCs w:val="24"/>
          <w:lang w:eastAsia="en-GB"/>
        </w:rPr>
        <w:t xml:space="preserve">academic analysis of </w:t>
      </w:r>
      <w:r w:rsidR="00DF759C">
        <w:rPr>
          <w:rFonts w:ascii="Times New Roman" w:hAnsi="Times New Roman" w:cs="Times New Roman"/>
          <w:noProof/>
          <w:sz w:val="24"/>
          <w:szCs w:val="24"/>
          <w:lang w:eastAsia="en-GB"/>
        </w:rPr>
        <w:t xml:space="preserve">the </w:t>
      </w:r>
      <w:r w:rsidRPr="004D76DA">
        <w:rPr>
          <w:rFonts w:ascii="Times New Roman" w:hAnsi="Times New Roman" w:cs="Times New Roman"/>
          <w:noProof/>
          <w:sz w:val="24"/>
          <w:szCs w:val="24"/>
          <w:lang w:eastAsia="en-GB"/>
        </w:rPr>
        <w:t xml:space="preserve">Directive and its potential impact and challenges. </w:t>
      </w:r>
      <w:r w:rsidR="00DF759C">
        <w:rPr>
          <w:rFonts w:ascii="Times New Roman" w:hAnsi="Times New Roman" w:cs="Times New Roman"/>
          <w:noProof/>
          <w:sz w:val="24"/>
          <w:szCs w:val="24"/>
          <w:lang w:eastAsia="en-GB"/>
        </w:rPr>
        <w:t xml:space="preserve">Regarding </w:t>
      </w:r>
      <w:r w:rsidRPr="004D76DA">
        <w:rPr>
          <w:rFonts w:ascii="Times New Roman" w:hAnsi="Times New Roman" w:cs="Times New Roman"/>
          <w:noProof/>
          <w:sz w:val="24"/>
          <w:szCs w:val="24"/>
          <w:lang w:eastAsia="en-GB"/>
        </w:rPr>
        <w:t xml:space="preserve">effectiveness, NGOs and academic institutions indicated a diverging situation across the EU in terms of implementation of the </w:t>
      </w:r>
      <w:r w:rsidR="00694FCA">
        <w:rPr>
          <w:rFonts w:ascii="Times New Roman" w:hAnsi="Times New Roman" w:cs="Times New Roman"/>
          <w:noProof/>
          <w:sz w:val="24"/>
          <w:szCs w:val="24"/>
          <w:lang w:eastAsia="en-GB"/>
        </w:rPr>
        <w:t xml:space="preserve">CMLD </w:t>
      </w:r>
      <w:r w:rsidR="00DF759C">
        <w:rPr>
          <w:rFonts w:ascii="Times New Roman" w:hAnsi="Times New Roman" w:cs="Times New Roman"/>
          <w:noProof/>
          <w:sz w:val="24"/>
          <w:szCs w:val="24"/>
          <w:lang w:eastAsia="en-GB"/>
        </w:rPr>
        <w:t>with</w:t>
      </w:r>
      <w:r w:rsidRPr="004D76DA">
        <w:rPr>
          <w:rFonts w:ascii="Times New Roman" w:hAnsi="Times New Roman" w:cs="Times New Roman"/>
          <w:noProof/>
          <w:sz w:val="24"/>
          <w:szCs w:val="24"/>
          <w:lang w:eastAsia="en-GB"/>
        </w:rPr>
        <w:t>in national regulatory frameworks</w:t>
      </w:r>
      <w:r w:rsidR="00DF759C">
        <w:rPr>
          <w:rFonts w:ascii="Times New Roman" w:hAnsi="Times New Roman" w:cs="Times New Roman"/>
          <w:noProof/>
          <w:sz w:val="24"/>
          <w:szCs w:val="24"/>
          <w:lang w:eastAsia="en-GB"/>
        </w:rPr>
        <w:t>. Though they</w:t>
      </w:r>
      <w:r w:rsidRPr="004D76DA">
        <w:rPr>
          <w:rFonts w:ascii="Times New Roman" w:hAnsi="Times New Roman" w:cs="Times New Roman"/>
          <w:noProof/>
          <w:sz w:val="24"/>
          <w:szCs w:val="24"/>
          <w:lang w:eastAsia="en-GB"/>
        </w:rPr>
        <w:t xml:space="preserve"> recognised</w:t>
      </w:r>
      <w:r w:rsidR="00DF759C">
        <w:rPr>
          <w:rFonts w:ascii="Times New Roman" w:hAnsi="Times New Roman" w:cs="Times New Roman"/>
          <w:noProof/>
          <w:sz w:val="24"/>
          <w:szCs w:val="24"/>
          <w:lang w:eastAsia="en-GB"/>
        </w:rPr>
        <w:t xml:space="preserve"> the</w:t>
      </w:r>
      <w:r w:rsidRPr="004D76DA">
        <w:rPr>
          <w:rFonts w:ascii="Times New Roman" w:hAnsi="Times New Roman" w:cs="Times New Roman"/>
          <w:noProof/>
          <w:sz w:val="24"/>
          <w:szCs w:val="24"/>
          <w:lang w:eastAsia="en-GB"/>
        </w:rPr>
        <w:t xml:space="preserve"> harmonisation prompted by the Directive</w:t>
      </w:r>
      <w:r w:rsidR="00166C0D">
        <w:rPr>
          <w:rFonts w:ascii="Times New Roman" w:hAnsi="Times New Roman" w:cs="Times New Roman"/>
          <w:noProof/>
          <w:sz w:val="24"/>
          <w:szCs w:val="24"/>
          <w:lang w:eastAsia="en-GB"/>
        </w:rPr>
        <w:t xml:space="preserve">, they </w:t>
      </w:r>
      <w:r w:rsidR="00A07B9B">
        <w:rPr>
          <w:rFonts w:ascii="Times New Roman" w:hAnsi="Times New Roman" w:cs="Times New Roman"/>
          <w:noProof/>
          <w:sz w:val="24"/>
          <w:szCs w:val="24"/>
          <w:lang w:eastAsia="en-GB"/>
        </w:rPr>
        <w:t>pointed out that this was a limiting factor</w:t>
      </w:r>
      <w:r w:rsidRPr="004D76DA">
        <w:rPr>
          <w:rFonts w:ascii="Times New Roman" w:hAnsi="Times New Roman" w:cs="Times New Roman"/>
          <w:noProof/>
          <w:sz w:val="24"/>
          <w:szCs w:val="24"/>
          <w:lang w:eastAsia="en-GB"/>
        </w:rPr>
        <w:t>. Further</w:t>
      </w:r>
      <w:r w:rsidR="00790DAA">
        <w:rPr>
          <w:rFonts w:ascii="Times New Roman" w:hAnsi="Times New Roman" w:cs="Times New Roman"/>
          <w:noProof/>
          <w:sz w:val="24"/>
          <w:szCs w:val="24"/>
          <w:lang w:eastAsia="en-GB"/>
        </w:rPr>
        <w:t>more</w:t>
      </w:r>
      <w:r w:rsidRPr="004D76DA">
        <w:rPr>
          <w:rFonts w:ascii="Times New Roman" w:hAnsi="Times New Roman" w:cs="Times New Roman"/>
          <w:noProof/>
          <w:sz w:val="24"/>
          <w:szCs w:val="24"/>
          <w:lang w:eastAsia="en-GB"/>
        </w:rPr>
        <w:t>, the stakeholder group also noted the challenges</w:t>
      </w:r>
      <w:r w:rsidR="00322036">
        <w:rPr>
          <w:rFonts w:ascii="Times New Roman" w:hAnsi="Times New Roman" w:cs="Times New Roman"/>
          <w:noProof/>
          <w:sz w:val="24"/>
          <w:szCs w:val="24"/>
          <w:lang w:eastAsia="en-GB"/>
        </w:rPr>
        <w:t xml:space="preserve"> faced</w:t>
      </w:r>
      <w:r w:rsidRPr="004D76DA">
        <w:rPr>
          <w:rFonts w:ascii="Times New Roman" w:hAnsi="Times New Roman" w:cs="Times New Roman"/>
          <w:noProof/>
          <w:sz w:val="24"/>
          <w:szCs w:val="24"/>
          <w:lang w:eastAsia="en-GB"/>
        </w:rPr>
        <w:t xml:space="preserve"> regarding </w:t>
      </w:r>
      <w:r w:rsidR="00322036">
        <w:rPr>
          <w:rFonts w:ascii="Times New Roman" w:hAnsi="Times New Roman" w:cs="Times New Roman"/>
          <w:noProof/>
          <w:sz w:val="24"/>
          <w:szCs w:val="24"/>
          <w:lang w:eastAsia="en-GB"/>
        </w:rPr>
        <w:t xml:space="preserve">the </w:t>
      </w:r>
      <w:r w:rsidRPr="004D76DA">
        <w:rPr>
          <w:rFonts w:ascii="Times New Roman" w:hAnsi="Times New Roman" w:cs="Times New Roman"/>
          <w:noProof/>
          <w:sz w:val="24"/>
          <w:szCs w:val="24"/>
          <w:lang w:eastAsia="en-GB"/>
        </w:rPr>
        <w:t>predicate offen</w:t>
      </w:r>
      <w:r w:rsidR="00322036">
        <w:rPr>
          <w:rFonts w:ascii="Times New Roman" w:hAnsi="Times New Roman" w:cs="Times New Roman"/>
          <w:noProof/>
          <w:sz w:val="24"/>
          <w:szCs w:val="24"/>
          <w:lang w:eastAsia="en-GB"/>
        </w:rPr>
        <w:t>c</w:t>
      </w:r>
      <w:r w:rsidRPr="004D76DA">
        <w:rPr>
          <w:rFonts w:ascii="Times New Roman" w:hAnsi="Times New Roman" w:cs="Times New Roman"/>
          <w:noProof/>
          <w:sz w:val="24"/>
          <w:szCs w:val="24"/>
          <w:lang w:eastAsia="en-GB"/>
        </w:rPr>
        <w:t xml:space="preserve">es described in the </w:t>
      </w:r>
      <w:r w:rsidR="00694FCA">
        <w:rPr>
          <w:rFonts w:ascii="Times New Roman" w:hAnsi="Times New Roman" w:cs="Times New Roman"/>
          <w:noProof/>
          <w:sz w:val="24"/>
          <w:szCs w:val="24"/>
          <w:lang w:eastAsia="en-GB"/>
        </w:rPr>
        <w:t>CMLD</w:t>
      </w:r>
      <w:r w:rsidRPr="004D76DA">
        <w:rPr>
          <w:rFonts w:ascii="Times New Roman" w:hAnsi="Times New Roman" w:cs="Times New Roman"/>
          <w:noProof/>
          <w:sz w:val="24"/>
          <w:szCs w:val="24"/>
          <w:lang w:eastAsia="en-GB"/>
        </w:rPr>
        <w:t xml:space="preserve">. Finally, academics also raised concerns </w:t>
      </w:r>
      <w:r w:rsidR="007C04F7">
        <w:rPr>
          <w:rFonts w:ascii="Times New Roman" w:hAnsi="Times New Roman" w:cs="Times New Roman"/>
          <w:noProof/>
          <w:sz w:val="24"/>
          <w:szCs w:val="24"/>
          <w:lang w:eastAsia="en-GB"/>
        </w:rPr>
        <w:t>about</w:t>
      </w:r>
      <w:r w:rsidR="007C04F7"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the proportionality of the </w:t>
      </w:r>
      <w:r w:rsidR="00694FCA">
        <w:rPr>
          <w:rFonts w:ascii="Times New Roman" w:hAnsi="Times New Roman" w:cs="Times New Roman"/>
          <w:noProof/>
          <w:sz w:val="24"/>
          <w:szCs w:val="24"/>
          <w:lang w:eastAsia="en-GB"/>
        </w:rPr>
        <w:t>CMLD</w:t>
      </w:r>
      <w:r w:rsidR="007C04F7">
        <w:rPr>
          <w:rFonts w:ascii="Times New Roman" w:hAnsi="Times New Roman" w:cs="Times New Roman"/>
          <w:noProof/>
          <w:sz w:val="24"/>
          <w:szCs w:val="24"/>
          <w:lang w:eastAsia="en-GB"/>
        </w:rPr>
        <w:t>,</w:t>
      </w:r>
      <w:r w:rsidRPr="004D76DA">
        <w:rPr>
          <w:rFonts w:ascii="Times New Roman" w:hAnsi="Times New Roman" w:cs="Times New Roman"/>
          <w:noProof/>
          <w:sz w:val="24"/>
          <w:szCs w:val="24"/>
          <w:lang w:eastAsia="en-GB"/>
        </w:rPr>
        <w:t xml:space="preserve"> given the </w:t>
      </w:r>
      <w:r w:rsidR="007C04F7">
        <w:rPr>
          <w:rFonts w:ascii="Times New Roman" w:hAnsi="Times New Roman" w:cs="Times New Roman"/>
          <w:noProof/>
          <w:sz w:val="24"/>
          <w:szCs w:val="24"/>
          <w:lang w:eastAsia="en-GB"/>
        </w:rPr>
        <w:t xml:space="preserve">plans to </w:t>
      </w:r>
      <w:r w:rsidRPr="004D76DA">
        <w:rPr>
          <w:rFonts w:ascii="Times New Roman" w:hAnsi="Times New Roman" w:cs="Times New Roman"/>
          <w:noProof/>
          <w:sz w:val="24"/>
          <w:szCs w:val="24"/>
          <w:lang w:eastAsia="en-GB"/>
        </w:rPr>
        <w:t xml:space="preserve">use investigative tools designed for organised crime </w:t>
      </w:r>
      <w:r w:rsidR="007C04F7">
        <w:rPr>
          <w:rFonts w:ascii="Times New Roman" w:hAnsi="Times New Roman" w:cs="Times New Roman"/>
          <w:noProof/>
          <w:sz w:val="24"/>
          <w:szCs w:val="24"/>
          <w:lang w:eastAsia="en-GB"/>
        </w:rPr>
        <w:t>to investigate</w:t>
      </w:r>
      <w:r w:rsidR="007C04F7"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all forms of money laundering</w:t>
      </w:r>
      <w:r w:rsidR="007C04F7">
        <w:rPr>
          <w:rFonts w:ascii="Times New Roman" w:hAnsi="Times New Roman" w:cs="Times New Roman"/>
          <w:noProof/>
          <w:sz w:val="24"/>
          <w:szCs w:val="24"/>
          <w:lang w:eastAsia="en-GB"/>
        </w:rPr>
        <w:t>. They indicated that this would</w:t>
      </w:r>
      <w:r w:rsidR="007C04F7"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potentially divert resources away from the fight against terrorism and organised crime. </w:t>
      </w:r>
    </w:p>
    <w:p w14:paraId="7DAC2C23" w14:textId="0EBE667E"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 xml:space="preserve">In terms of efficiency, a subset of the stakeholder group was the only one to indicate potential costs associated with the implementation of the Directive given the additional requirements and rules. Given </w:t>
      </w:r>
      <w:r w:rsidR="00760025">
        <w:rPr>
          <w:rFonts w:ascii="Times New Roman" w:hAnsi="Times New Roman" w:cs="Times New Roman"/>
          <w:noProof/>
          <w:sz w:val="24"/>
          <w:szCs w:val="24"/>
          <w:lang w:eastAsia="en-GB"/>
        </w:rPr>
        <w:t>that this particular subset of the stakeholder group was the sole one to express this</w:t>
      </w:r>
      <w:r w:rsidRPr="004D76DA">
        <w:rPr>
          <w:rFonts w:ascii="Times New Roman" w:hAnsi="Times New Roman" w:cs="Times New Roman"/>
          <w:noProof/>
          <w:sz w:val="24"/>
          <w:szCs w:val="24"/>
          <w:lang w:eastAsia="en-GB"/>
        </w:rPr>
        <w:t xml:space="preserve"> position and</w:t>
      </w:r>
      <w:r w:rsidR="00760025">
        <w:rPr>
          <w:rFonts w:ascii="Times New Roman" w:hAnsi="Times New Roman" w:cs="Times New Roman"/>
          <w:noProof/>
          <w:sz w:val="24"/>
          <w:szCs w:val="24"/>
          <w:lang w:eastAsia="en-GB"/>
        </w:rPr>
        <w:t xml:space="preserve"> given</w:t>
      </w:r>
      <w:r w:rsidRPr="004D76DA">
        <w:rPr>
          <w:rFonts w:ascii="Times New Roman" w:hAnsi="Times New Roman" w:cs="Times New Roman"/>
          <w:noProof/>
          <w:sz w:val="24"/>
          <w:szCs w:val="24"/>
          <w:lang w:eastAsia="en-GB"/>
        </w:rPr>
        <w:t xml:space="preserve"> the lack of available data, it was difficult to verify the statement, but it was nevertheless important to include it in the qualitative assessment on the efficiency criterion.  </w:t>
      </w:r>
    </w:p>
    <w:p w14:paraId="512642B5" w14:textId="63F985C0" w:rsidR="004F4FC0" w:rsidRPr="004D76DA" w:rsidRDefault="004F4FC0" w:rsidP="009A39FA">
      <w:pPr>
        <w:jc w:val="both"/>
        <w:rPr>
          <w:rFonts w:ascii="Times New Roman" w:hAnsi="Times New Roman" w:cs="Times New Roman"/>
          <w:noProof/>
          <w:sz w:val="24"/>
          <w:szCs w:val="24"/>
          <w:lang w:eastAsia="en-GB"/>
        </w:rPr>
      </w:pPr>
      <w:r w:rsidRPr="004D76DA">
        <w:rPr>
          <w:rFonts w:ascii="Times New Roman" w:hAnsi="Times New Roman" w:cs="Times New Roman"/>
          <w:noProof/>
          <w:sz w:val="24"/>
          <w:szCs w:val="24"/>
          <w:lang w:eastAsia="en-GB"/>
        </w:rPr>
        <w:t>The final set of key contributions made by NGOs, think-tanks and academic institutions focused on the</w:t>
      </w:r>
      <w:r w:rsidR="00760025">
        <w:rPr>
          <w:rFonts w:ascii="Times New Roman" w:hAnsi="Times New Roman" w:cs="Times New Roman"/>
          <w:noProof/>
          <w:sz w:val="24"/>
          <w:szCs w:val="24"/>
          <w:lang w:eastAsia="en-GB"/>
        </w:rPr>
        <w:t xml:space="preserve"> assessment of</w:t>
      </w:r>
      <w:r w:rsidRPr="004D76DA">
        <w:rPr>
          <w:rFonts w:ascii="Times New Roman" w:hAnsi="Times New Roman" w:cs="Times New Roman"/>
          <w:noProof/>
          <w:sz w:val="24"/>
          <w:szCs w:val="24"/>
          <w:lang w:eastAsia="en-GB"/>
        </w:rPr>
        <w:t xml:space="preserve"> fundamental rights. </w:t>
      </w:r>
      <w:r w:rsidR="004A5C6A" w:rsidRPr="004D76DA">
        <w:rPr>
          <w:rFonts w:ascii="Times New Roman" w:hAnsi="Times New Roman" w:cs="Times New Roman"/>
          <w:noProof/>
          <w:sz w:val="24"/>
          <w:szCs w:val="24"/>
          <w:lang w:eastAsia="en-GB"/>
        </w:rPr>
        <w:t>K</w:t>
      </w:r>
      <w:r w:rsidRPr="004D76DA">
        <w:rPr>
          <w:rFonts w:ascii="Times New Roman" w:hAnsi="Times New Roman" w:cs="Times New Roman"/>
          <w:noProof/>
          <w:sz w:val="24"/>
          <w:szCs w:val="24"/>
          <w:lang w:eastAsia="en-GB"/>
        </w:rPr>
        <w:t xml:space="preserve">ey observations include </w:t>
      </w:r>
      <w:r w:rsidR="00760025">
        <w:rPr>
          <w:rFonts w:ascii="Times New Roman" w:hAnsi="Times New Roman" w:cs="Times New Roman"/>
          <w:noProof/>
          <w:sz w:val="24"/>
          <w:szCs w:val="24"/>
          <w:lang w:eastAsia="en-GB"/>
        </w:rPr>
        <w:t xml:space="preserve">(i) </w:t>
      </w:r>
      <w:r w:rsidRPr="004D76DA">
        <w:rPr>
          <w:rFonts w:ascii="Times New Roman" w:hAnsi="Times New Roman" w:cs="Times New Roman"/>
          <w:noProof/>
          <w:sz w:val="24"/>
          <w:szCs w:val="24"/>
          <w:lang w:eastAsia="en-GB"/>
        </w:rPr>
        <w:t xml:space="preserve">the possible impact </w:t>
      </w:r>
      <w:r w:rsidR="00760025">
        <w:rPr>
          <w:rFonts w:ascii="Times New Roman" w:hAnsi="Times New Roman" w:cs="Times New Roman"/>
          <w:noProof/>
          <w:sz w:val="24"/>
          <w:szCs w:val="24"/>
          <w:lang w:eastAsia="en-GB"/>
        </w:rPr>
        <w:t>on</w:t>
      </w:r>
      <w:r w:rsidR="00760025"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the presumption of innocence given the implementation of the Directive</w:t>
      </w:r>
      <w:r w:rsidR="00760025">
        <w:rPr>
          <w:rFonts w:ascii="Times New Roman" w:hAnsi="Times New Roman" w:cs="Times New Roman"/>
          <w:noProof/>
          <w:sz w:val="24"/>
          <w:szCs w:val="24"/>
          <w:lang w:eastAsia="en-GB"/>
        </w:rPr>
        <w:t>; (ii)</w:t>
      </w:r>
      <w:r w:rsidR="00760025" w:rsidRPr="004D76DA">
        <w:rPr>
          <w:rFonts w:ascii="Times New Roman" w:hAnsi="Times New Roman" w:cs="Times New Roman"/>
          <w:noProof/>
          <w:sz w:val="24"/>
          <w:szCs w:val="24"/>
          <w:lang w:eastAsia="en-GB"/>
        </w:rPr>
        <w:t xml:space="preserve"> </w:t>
      </w:r>
      <w:r w:rsidRPr="004D76DA">
        <w:rPr>
          <w:rFonts w:ascii="Times New Roman" w:hAnsi="Times New Roman" w:cs="Times New Roman"/>
          <w:noProof/>
          <w:sz w:val="24"/>
          <w:szCs w:val="24"/>
          <w:lang w:eastAsia="en-GB"/>
        </w:rPr>
        <w:t xml:space="preserve">potential issues with the principle of proportionality based on a potential conflict when transposing the Directive in Member States that do not recognise corporate criminal liability and </w:t>
      </w:r>
      <w:r w:rsidR="00760025">
        <w:rPr>
          <w:rFonts w:ascii="Times New Roman" w:hAnsi="Times New Roman" w:cs="Times New Roman"/>
          <w:noProof/>
          <w:sz w:val="24"/>
          <w:szCs w:val="24"/>
          <w:lang w:eastAsia="en-GB"/>
        </w:rPr>
        <w:t xml:space="preserve">(iii) </w:t>
      </w:r>
      <w:r w:rsidRPr="004D76DA">
        <w:rPr>
          <w:rFonts w:ascii="Times New Roman" w:hAnsi="Times New Roman" w:cs="Times New Roman"/>
          <w:noProof/>
          <w:sz w:val="24"/>
          <w:szCs w:val="24"/>
          <w:lang w:eastAsia="en-GB"/>
        </w:rPr>
        <w:t xml:space="preserve">the potential need to include specific provisions to guarantee each individual fundamental right in the Directive. </w:t>
      </w:r>
    </w:p>
    <w:p w14:paraId="251AA9EF" w14:textId="3A59380F" w:rsidR="00D9480D" w:rsidRPr="004D76DA" w:rsidRDefault="00D9480D" w:rsidP="002777AA">
      <w:pPr>
        <w:spacing w:after="120" w:line="240" w:lineRule="auto"/>
        <w:rPr>
          <w:rFonts w:ascii="Times New Roman" w:eastAsia="Times New Roman" w:hAnsi="Times New Roman" w:cs="Times New Roman"/>
          <w:noProof/>
          <w:sz w:val="24"/>
          <w:szCs w:val="24"/>
          <w:lang w:val="en-IE" w:eastAsia="en-GB"/>
        </w:rPr>
      </w:pPr>
    </w:p>
    <w:sectPr w:rsidR="00D9480D" w:rsidRPr="004D76DA" w:rsidSect="008A47B8">
      <w:headerReference w:type="even" r:id="rId43"/>
      <w:headerReference w:type="default" r:id="rId44"/>
      <w:footerReference w:type="even" r:id="rId45"/>
      <w:footerReference w:type="default" r:id="rId46"/>
      <w:headerReference w:type="first" r:id="rId47"/>
      <w:footerReference w:type="first" r:id="rId48"/>
      <w:pgSz w:w="11906" w:h="16838"/>
      <w:pgMar w:top="567"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48E87" w14:textId="77777777" w:rsidR="007A676B" w:rsidRDefault="007A676B" w:rsidP="006A5F73">
      <w:pPr>
        <w:spacing w:after="0" w:line="240" w:lineRule="auto"/>
      </w:pPr>
      <w:r>
        <w:separator/>
      </w:r>
    </w:p>
  </w:endnote>
  <w:endnote w:type="continuationSeparator" w:id="0">
    <w:p w14:paraId="06A52865" w14:textId="77777777" w:rsidR="007A676B" w:rsidRDefault="007A676B" w:rsidP="006A5F73">
      <w:pPr>
        <w:spacing w:after="0" w:line="240" w:lineRule="auto"/>
      </w:pPr>
      <w:r>
        <w:continuationSeparator/>
      </w:r>
    </w:p>
  </w:endnote>
  <w:endnote w:type="continuationNotice" w:id="1">
    <w:p w14:paraId="150B7F14" w14:textId="77777777" w:rsidR="007A676B" w:rsidRDefault="007A67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0F5C5" w14:textId="6C743752" w:rsidR="001F4851" w:rsidRPr="001F4851" w:rsidRDefault="001F4851" w:rsidP="001F4851">
    <w:pPr>
      <w:pStyle w:val="FooterCoverPage"/>
      <w:rPr>
        <w:rFonts w:ascii="Arial" w:hAnsi="Arial" w:cs="Arial"/>
        <w:b/>
        <w:sz w:val="48"/>
      </w:rPr>
    </w:pPr>
    <w:r w:rsidRPr="001F4851">
      <w:rPr>
        <w:rFonts w:ascii="Arial" w:hAnsi="Arial" w:cs="Arial"/>
        <w:b/>
        <w:sz w:val="48"/>
      </w:rPr>
      <w:t>EN</w:t>
    </w:r>
    <w:r w:rsidRPr="001F4851">
      <w:rPr>
        <w:rFonts w:ascii="Arial" w:hAnsi="Arial" w:cs="Arial"/>
        <w:b/>
        <w:sz w:val="48"/>
      </w:rPr>
      <w:tab/>
    </w:r>
    <w:r w:rsidRPr="001F4851">
      <w:rPr>
        <w:rFonts w:ascii="Arial" w:hAnsi="Arial" w:cs="Arial"/>
        <w:b/>
        <w:sz w:val="48"/>
      </w:rPr>
      <w:tab/>
    </w:r>
    <w:r w:rsidRPr="001F4851">
      <w:tab/>
    </w:r>
    <w:r w:rsidRPr="001F48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B52F2" w14:textId="7091E8B8" w:rsidR="001F4851" w:rsidRPr="001F4851" w:rsidRDefault="001F4851" w:rsidP="001F4851">
    <w:pPr>
      <w:pStyle w:val="FooterCoverPage"/>
      <w:rPr>
        <w:rFonts w:ascii="Arial" w:hAnsi="Arial" w:cs="Arial"/>
        <w:b/>
        <w:sz w:val="48"/>
      </w:rPr>
    </w:pPr>
    <w:r w:rsidRPr="001F4851">
      <w:rPr>
        <w:rFonts w:ascii="Arial" w:hAnsi="Arial" w:cs="Arial"/>
        <w:b/>
        <w:sz w:val="48"/>
      </w:rPr>
      <w:t>EN</w:t>
    </w:r>
    <w:r w:rsidRPr="001F4851">
      <w:rPr>
        <w:rFonts w:ascii="Arial" w:hAnsi="Arial" w:cs="Arial"/>
        <w:b/>
        <w:sz w:val="48"/>
      </w:rPr>
      <w:tab/>
    </w:r>
    <w:r w:rsidRPr="001F4851">
      <w:rPr>
        <w:rFonts w:ascii="Arial" w:hAnsi="Arial" w:cs="Arial"/>
        <w:b/>
        <w:sz w:val="48"/>
      </w:rPr>
      <w:tab/>
    </w:r>
    <w:r w:rsidRPr="001F4851">
      <w:tab/>
    </w:r>
    <w:r w:rsidRPr="001F48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31B58" w14:textId="77777777" w:rsidR="001F4851" w:rsidRPr="001F4851" w:rsidRDefault="001F4851" w:rsidP="001F48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D6D9" w14:textId="77777777" w:rsidR="00CD412A" w:rsidRDefault="00CD41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035" w14:textId="73594CD4" w:rsidR="00CD412A" w:rsidRDefault="00CD412A">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4783B" w14:textId="70423976" w:rsidR="00CD412A" w:rsidRDefault="00CD412A">
    <w:pPr>
      <w:pStyle w:val="Footer"/>
      <w:jc w:val="center"/>
    </w:pPr>
  </w:p>
  <w:p w14:paraId="3D253FFB" w14:textId="77777777" w:rsidR="00CD412A" w:rsidRDefault="00CD41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0FCEE" w14:textId="77777777" w:rsidR="00CD412A" w:rsidRDefault="00CD41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9A83" w14:textId="13C12353" w:rsidR="00CD412A" w:rsidRDefault="00CD412A">
    <w:pPr>
      <w:pStyle w:val="Footer"/>
      <w:jc w:val="center"/>
    </w:pPr>
    <w:r>
      <w:fldChar w:fldCharType="begin"/>
    </w:r>
    <w:r>
      <w:instrText>PAGE</w:instrText>
    </w:r>
    <w:r>
      <w:fldChar w:fldCharType="separate"/>
    </w:r>
    <w:r w:rsidR="001F4851">
      <w:rPr>
        <w:noProof/>
      </w:rPr>
      <w:t>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rPr>
        <w:noProof/>
      </w:rPr>
    </w:sdtEndPr>
    <w:sdtContent>
      <w:p w14:paraId="6E0D3DB3" w14:textId="0E4D5B3A" w:rsidR="00CD412A" w:rsidRDefault="00CD412A">
        <w:pPr>
          <w:pStyle w:val="Footer"/>
          <w:jc w:val="center"/>
        </w:pPr>
        <w:r>
          <w:fldChar w:fldCharType="begin"/>
        </w:r>
        <w:r>
          <w:instrText xml:space="preserve"> PAGE   \* MERGEFORMAT </w:instrText>
        </w:r>
        <w:r>
          <w:fldChar w:fldCharType="separate"/>
        </w:r>
        <w:r w:rsidR="001F4851">
          <w:rPr>
            <w:noProof/>
          </w:rPr>
          <w:t>3</w:t>
        </w:r>
        <w:r>
          <w:rPr>
            <w:noProof/>
          </w:rPr>
          <w:fldChar w:fldCharType="end"/>
        </w:r>
      </w:p>
    </w:sdtContent>
  </w:sdt>
  <w:p w14:paraId="0D04E84D" w14:textId="77777777" w:rsidR="00CD412A" w:rsidRDefault="00CD41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DD3B" w14:textId="77777777" w:rsidR="00CD412A" w:rsidRDefault="00CD41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C3C3" w14:textId="22888444" w:rsidR="00CD412A" w:rsidRDefault="00CD412A">
    <w:pPr>
      <w:pStyle w:val="Footer"/>
      <w:jc w:val="center"/>
    </w:pPr>
    <w:r>
      <w:fldChar w:fldCharType="begin"/>
    </w:r>
    <w:r>
      <w:instrText>PAGE</w:instrText>
    </w:r>
    <w:r>
      <w:fldChar w:fldCharType="separate"/>
    </w:r>
    <w:r w:rsidR="003A4E50">
      <w:rPr>
        <w:noProof/>
      </w:rPr>
      <w:t>15</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281269"/>
      <w:docPartObj>
        <w:docPartGallery w:val="Page Numbers (Bottom of Page)"/>
        <w:docPartUnique/>
      </w:docPartObj>
    </w:sdtPr>
    <w:sdtEndPr>
      <w:rPr>
        <w:noProof/>
      </w:rPr>
    </w:sdtEndPr>
    <w:sdtContent>
      <w:p w14:paraId="4595A54A" w14:textId="0431B837" w:rsidR="00CD412A" w:rsidRDefault="00CD412A">
        <w:pPr>
          <w:pStyle w:val="Footer"/>
          <w:jc w:val="center"/>
        </w:pPr>
        <w:r>
          <w:fldChar w:fldCharType="begin"/>
        </w:r>
        <w:r>
          <w:instrText xml:space="preserve"> PAGE   \* MERGEFORMAT </w:instrText>
        </w:r>
        <w:r>
          <w:fldChar w:fldCharType="separate"/>
        </w:r>
        <w:r w:rsidR="003A4E50">
          <w:rPr>
            <w:noProof/>
          </w:rPr>
          <w:t>9</w:t>
        </w:r>
        <w:r>
          <w:rPr>
            <w:noProof/>
          </w:rPr>
          <w:fldChar w:fldCharType="end"/>
        </w:r>
      </w:p>
    </w:sdtContent>
  </w:sdt>
  <w:p w14:paraId="18F2DE6D" w14:textId="77777777" w:rsidR="00CD412A" w:rsidRDefault="00CD4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850FF" w14:textId="77777777" w:rsidR="007A676B" w:rsidRDefault="007A676B" w:rsidP="006A5F73">
      <w:pPr>
        <w:spacing w:after="0" w:line="240" w:lineRule="auto"/>
      </w:pPr>
      <w:r>
        <w:separator/>
      </w:r>
    </w:p>
  </w:footnote>
  <w:footnote w:type="continuationSeparator" w:id="0">
    <w:p w14:paraId="2897AC7D" w14:textId="77777777" w:rsidR="007A676B" w:rsidRDefault="007A676B" w:rsidP="006A5F73">
      <w:pPr>
        <w:spacing w:after="0" w:line="240" w:lineRule="auto"/>
      </w:pPr>
      <w:r>
        <w:continuationSeparator/>
      </w:r>
    </w:p>
  </w:footnote>
  <w:footnote w:type="continuationNotice" w:id="1">
    <w:p w14:paraId="4F0540DC" w14:textId="77777777" w:rsidR="007A676B" w:rsidRDefault="007A676B">
      <w:pPr>
        <w:spacing w:after="0" w:line="240" w:lineRule="auto"/>
      </w:pPr>
    </w:p>
  </w:footnote>
  <w:footnote w:id="2">
    <w:p w14:paraId="35C23FA9" w14:textId="47D105B4" w:rsidR="004B1B78" w:rsidRPr="00F02686" w:rsidRDefault="004B1B78" w:rsidP="00F02686">
      <w:pPr>
        <w:pStyle w:val="FootnoteText"/>
        <w:spacing w:after="0"/>
        <w:rPr>
          <w:lang w:val="en-IE"/>
        </w:rPr>
      </w:pPr>
      <w:r>
        <w:rPr>
          <w:rStyle w:val="FootnoteReference"/>
        </w:rPr>
        <w:footnoteRef/>
      </w:r>
      <w:r>
        <w:t xml:space="preserve"> </w:t>
      </w:r>
      <w:r w:rsidR="009A0512">
        <w:t>I</w:t>
      </w:r>
      <w:r w:rsidR="009A0512" w:rsidRPr="009A0512">
        <w:rPr>
          <w:lang w:val="en-IE"/>
        </w:rPr>
        <w:t xml:space="preserve">t should be noted that this SWD is an informative supporting document accompanying the act; it has no legal effect and cannot commit the </w:t>
      </w:r>
      <w:r w:rsidR="009A0512">
        <w:rPr>
          <w:lang w:val="en-IE"/>
        </w:rPr>
        <w:t xml:space="preserve">European </w:t>
      </w:r>
      <w:r w:rsidR="009A0512" w:rsidRPr="009A0512">
        <w:rPr>
          <w:lang w:val="en-IE"/>
        </w:rPr>
        <w:t>Commission.</w:t>
      </w:r>
    </w:p>
  </w:footnote>
  <w:footnote w:id="3">
    <w:p w14:paraId="6421FCC2" w14:textId="2C130BF4" w:rsidR="00F84165" w:rsidRPr="00E43277" w:rsidRDefault="00F84165" w:rsidP="009A0512">
      <w:pPr>
        <w:pStyle w:val="FootnoteText"/>
        <w:spacing w:after="0"/>
      </w:pPr>
      <w:r>
        <w:rPr>
          <w:rStyle w:val="FootnoteReference"/>
        </w:rPr>
        <w:footnoteRef/>
      </w:r>
      <w:r>
        <w:t xml:space="preserve"> </w:t>
      </w:r>
      <w:r w:rsidR="00C32955">
        <w:t xml:space="preserve"> </w:t>
      </w:r>
      <w:r w:rsidRPr="00EB5911">
        <w:t>Directive (EU) 2018/1673 of the European Parliament and of the Council of 23 October 2018 on combating money laundering by criminal law, OJ L 284, 12.11.2018, p. 22-30, available</w:t>
      </w:r>
      <w:r w:rsidRPr="00EB5911">
        <w:rPr>
          <w:rFonts w:ascii="Verdana" w:eastAsia="Verdana" w:hAnsi="Verdana"/>
          <w:szCs w:val="22"/>
        </w:rPr>
        <w:t xml:space="preserve"> </w:t>
      </w:r>
      <w:hyperlink r:id="rId1" w:history="1">
        <w:r w:rsidRPr="00EB5911">
          <w:rPr>
            <w:rStyle w:val="Hyperlink"/>
          </w:rPr>
          <w:t>here</w:t>
        </w:r>
      </w:hyperlink>
      <w:r w:rsidR="000466F8">
        <w:t>.</w:t>
      </w:r>
    </w:p>
  </w:footnote>
  <w:footnote w:id="4">
    <w:p w14:paraId="21A6757F" w14:textId="6A6C8965" w:rsidR="00C94D98" w:rsidRPr="00FC0C20" w:rsidRDefault="00C94D98" w:rsidP="00C94D98">
      <w:pPr>
        <w:pStyle w:val="FootnoteText"/>
        <w:rPr>
          <w:lang w:val="en-US"/>
        </w:rPr>
      </w:pPr>
      <w:r>
        <w:rPr>
          <w:rStyle w:val="FootnoteReference"/>
        </w:rPr>
        <w:footnoteRef/>
      </w:r>
      <w:r w:rsidR="00C32955">
        <w:t xml:space="preserve"> </w:t>
      </w:r>
      <w:r>
        <w:t xml:space="preserve">Available at: </w:t>
      </w:r>
      <w:hyperlink r:id="rId2" w:history="1">
        <w:r w:rsidRPr="00311964">
          <w:rPr>
            <w:rStyle w:val="Hyperlink"/>
          </w:rPr>
          <w:t>https://ec.europa.eu/info/sites/info/files/better-regulation-guidelines-evaluation-fitness-checks.pdf</w:t>
        </w:r>
      </w:hyperlink>
    </w:p>
    <w:p w14:paraId="09F642C3" w14:textId="77777777" w:rsidR="00C94D98" w:rsidRPr="00EC4948" w:rsidRDefault="00C94D98" w:rsidP="00C94D98">
      <w:pPr>
        <w:pStyle w:val="FootnoteText"/>
        <w:rPr>
          <w:lang w:val="en-US"/>
        </w:rPr>
      </w:pPr>
    </w:p>
  </w:footnote>
  <w:footnote w:id="5">
    <w:p w14:paraId="67497E1E" w14:textId="56BD534A" w:rsidR="00EF4717" w:rsidRPr="00F02686" w:rsidRDefault="00EF4717" w:rsidP="00F02686">
      <w:pPr>
        <w:pStyle w:val="FootnoteText"/>
        <w:ind w:left="0" w:firstLine="0"/>
        <w:rPr>
          <w:lang w:val="en-IE"/>
        </w:rPr>
      </w:pPr>
      <w:r>
        <w:rPr>
          <w:rStyle w:val="FootnoteReference"/>
        </w:rPr>
        <w:footnoteRef/>
      </w:r>
      <w:r>
        <w:t xml:space="preserve"> </w:t>
      </w:r>
      <w:r w:rsidRPr="00EF4717">
        <w:t>Evaluation of Directive (EU) 2018/1673 on the fight against money laundering by criminal law</w:t>
      </w:r>
      <w:r>
        <w:t xml:space="preserve">. </w:t>
      </w:r>
      <w:r w:rsidRPr="00EF4717">
        <w:t>Final Report</w:t>
      </w:r>
      <w:r>
        <w:t xml:space="preserve">. </w:t>
      </w:r>
      <w:r w:rsidRPr="00EF4717">
        <w:t>ISBN 978-92-68-37245-6</w:t>
      </w:r>
      <w:r>
        <w:t xml:space="preserve"> (Print version) - </w:t>
      </w:r>
      <w:r w:rsidRPr="00EF4717">
        <w:t>ISBN 978-92-68-37240-1</w:t>
      </w:r>
      <w:r>
        <w:t xml:space="preserve"> (PDF)</w:t>
      </w:r>
    </w:p>
  </w:footnote>
  <w:footnote w:id="6">
    <w:p w14:paraId="383A63BC" w14:textId="7C53E4FD" w:rsidR="004576A0" w:rsidRDefault="004576A0" w:rsidP="003C56B6">
      <w:pPr>
        <w:pStyle w:val="FootnoteText"/>
        <w:spacing w:after="0"/>
        <w:rPr>
          <w:lang w:val="en-US"/>
        </w:rPr>
      </w:pPr>
      <w:r>
        <w:rPr>
          <w:rStyle w:val="FootnoteReference"/>
        </w:rPr>
        <w:footnoteRef/>
      </w:r>
      <w:r>
        <w:t xml:space="preserve"> </w:t>
      </w:r>
      <w:r w:rsidR="00164AEE">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pp. 73–117</w:t>
      </w:r>
      <w:r>
        <w:t xml:space="preserve">, available at: </w:t>
      </w:r>
      <w:hyperlink r:id="rId3" w:history="1">
        <w:r w:rsidR="00AD571A" w:rsidRPr="004408E6">
          <w:rPr>
            <w:rStyle w:val="Hyperlink"/>
          </w:rPr>
          <w:t>https://eur-lex.europa.eu/eli/dir/2015/849/oj/eng</w:t>
        </w:r>
      </w:hyperlink>
      <w:r w:rsidR="00AD571A">
        <w:t xml:space="preserve"> </w:t>
      </w:r>
      <w:r>
        <w:t xml:space="preserve"> </w:t>
      </w:r>
    </w:p>
  </w:footnote>
  <w:footnote w:id="7">
    <w:p w14:paraId="3311030F" w14:textId="16F14AD4" w:rsidR="004576A0" w:rsidRPr="00172619" w:rsidRDefault="004576A0" w:rsidP="00172619">
      <w:pPr>
        <w:pStyle w:val="FootnoteText"/>
        <w:spacing w:after="0"/>
        <w:ind w:left="426" w:hanging="426"/>
        <w:rPr>
          <w:lang w:val="en-IE"/>
        </w:rPr>
      </w:pPr>
      <w:r>
        <w:rPr>
          <w:rStyle w:val="FootnoteReference"/>
        </w:rPr>
        <w:footnoteRef/>
      </w:r>
      <w:r w:rsidRPr="00716E0D">
        <w:rPr>
          <w:lang w:val="en-IE"/>
        </w:rPr>
        <w:t xml:space="preserve"> </w:t>
      </w:r>
      <w:r w:rsidRPr="00283932">
        <w:rPr>
          <w:lang w:val="en-IE"/>
        </w:rPr>
        <w:t xml:space="preserve">Council Framework Decision of 26 June 2001 on money laundering, the identification, tracing, freezing, seizing and confiscation of instrumentalities and the proceeds of crime, OJ L 182, 05.07.2001, p. 1-2, available at: https://eur-lex.europa.eu/legal-content/nl/TXT/?uri=CELEX:32001F0500 </w:t>
      </w:r>
    </w:p>
  </w:footnote>
  <w:footnote w:id="8">
    <w:p w14:paraId="6984BC14" w14:textId="3984C0F6" w:rsidR="00E24E90" w:rsidRPr="00E24E90" w:rsidRDefault="00E24E90" w:rsidP="005A2D9F">
      <w:pPr>
        <w:pStyle w:val="FootnoteText"/>
        <w:spacing w:after="0"/>
      </w:pPr>
      <w:r>
        <w:rPr>
          <w:rStyle w:val="FootnoteReference"/>
        </w:rPr>
        <w:footnoteRef/>
      </w:r>
      <w:r>
        <w:t xml:space="preserve"> </w:t>
      </w:r>
      <w:r w:rsidR="005A2D9F">
        <w:t>See explanatory memorandum of the Proposal for a</w:t>
      </w:r>
      <w:r w:rsidR="00F70CA8">
        <w:t xml:space="preserve"> Directive of the European Parliament and of the Council</w:t>
      </w:r>
      <w:r w:rsidR="005A2D9F">
        <w:t xml:space="preserve"> on countering money laundering by criminal law, COM/2016/0826 final - 2016/0414 (COD)</w:t>
      </w:r>
    </w:p>
  </w:footnote>
  <w:footnote w:id="9">
    <w:p w14:paraId="675CAA63" w14:textId="031A93A1" w:rsidR="00E24E90" w:rsidRPr="00E24E90" w:rsidRDefault="00E24E90" w:rsidP="005A2D9F">
      <w:pPr>
        <w:pStyle w:val="FootnoteText"/>
        <w:spacing w:after="0"/>
      </w:pPr>
      <w:r>
        <w:rPr>
          <w:rStyle w:val="FootnoteReference"/>
        </w:rPr>
        <w:footnoteRef/>
      </w:r>
      <w:r>
        <w:t xml:space="preserve"> </w:t>
      </w:r>
      <w:r w:rsidR="005A2D9F" w:rsidRPr="008A47B8">
        <w:rPr>
          <w:i/>
          <w:iCs/>
        </w:rPr>
        <w:t>Ibid.</w:t>
      </w:r>
    </w:p>
  </w:footnote>
  <w:footnote w:id="10">
    <w:p w14:paraId="10EB9621" w14:textId="396DA7CA" w:rsidR="00EA1CF2" w:rsidRPr="00F53CC5" w:rsidRDefault="00EA1CF2" w:rsidP="00F53CC5">
      <w:pPr>
        <w:pStyle w:val="FootnoteText"/>
        <w:spacing w:after="0"/>
        <w:rPr>
          <w:lang w:val="en-IE"/>
        </w:rPr>
      </w:pPr>
      <w:r w:rsidRPr="00F53CC5">
        <w:rPr>
          <w:rStyle w:val="FootnoteReference"/>
        </w:rPr>
        <w:footnoteRef/>
      </w:r>
      <w:r w:rsidR="00F53CC5">
        <w:t xml:space="preserve"> </w:t>
      </w:r>
      <w:r w:rsidR="17077926" w:rsidRPr="00161031">
        <w:t>Czech</w:t>
      </w:r>
      <w:r w:rsidR="005C390A">
        <w:t>ia</w:t>
      </w:r>
      <w:r w:rsidR="17077926" w:rsidRPr="00161031">
        <w:t xml:space="preserve">, Estonia, France, Latvia, Netherlands, Poland, Portugal, </w:t>
      </w:r>
      <w:r w:rsidR="005C390A" w:rsidRPr="00161031">
        <w:t xml:space="preserve">Slovenia </w:t>
      </w:r>
      <w:r w:rsidR="00841D79">
        <w:t xml:space="preserve">and </w:t>
      </w:r>
      <w:r w:rsidR="17077926" w:rsidRPr="00161031">
        <w:t>Sweden.</w:t>
      </w:r>
    </w:p>
  </w:footnote>
  <w:footnote w:id="11">
    <w:p w14:paraId="0EC3C1AF" w14:textId="58233580" w:rsidR="00EA1CF2" w:rsidRPr="00161031" w:rsidRDefault="00EA1CF2" w:rsidP="00EA1CF2">
      <w:pPr>
        <w:pStyle w:val="FootnoteText"/>
        <w:spacing w:after="0"/>
        <w:rPr>
          <w:lang w:val="en-IE"/>
        </w:rPr>
      </w:pPr>
      <w:r w:rsidRPr="00F53CC5">
        <w:rPr>
          <w:rStyle w:val="FootnoteReference"/>
        </w:rPr>
        <w:footnoteRef/>
      </w:r>
      <w:r w:rsidR="17077926" w:rsidRPr="00F53CC5">
        <w:t xml:space="preserve"> </w:t>
      </w:r>
      <w:r w:rsidR="17077926" w:rsidRPr="00161031">
        <w:t>France, Poland, Slovenia</w:t>
      </w:r>
      <w:r w:rsidR="00D21168">
        <w:t>,</w:t>
      </w:r>
      <w:r w:rsidR="17077926" w:rsidRPr="00161031">
        <w:t xml:space="preserve"> and Sweden.</w:t>
      </w:r>
    </w:p>
  </w:footnote>
  <w:footnote w:id="12">
    <w:p w14:paraId="0FC563F6" w14:textId="77777777" w:rsidR="00C1622F" w:rsidRPr="00C1622F" w:rsidRDefault="00C1622F" w:rsidP="00C1622F">
      <w:pPr>
        <w:pStyle w:val="FootnoteText"/>
        <w:spacing w:after="0"/>
        <w:rPr>
          <w:lang w:val="en-IE"/>
        </w:rPr>
      </w:pPr>
      <w:r w:rsidRPr="00F53CC5">
        <w:rPr>
          <w:rStyle w:val="FootnoteReference"/>
        </w:rPr>
        <w:footnoteRef/>
      </w:r>
      <w:r w:rsidRPr="00F53CC5">
        <w:t xml:space="preserve"> Europol, European Union Serious and Organised Crime Threat Assessment</w:t>
      </w:r>
      <w:r w:rsidRPr="00557833">
        <w:t xml:space="preserve"> – The changing DNA of serious and organised crime, Publications Office of the European Union, Luxembourg, 2025.</w:t>
      </w:r>
    </w:p>
  </w:footnote>
  <w:footnote w:id="13">
    <w:p w14:paraId="49CBAC57" w14:textId="77777777" w:rsidR="00D80F2F" w:rsidRPr="00557833" w:rsidRDefault="00D80F2F" w:rsidP="00D80F2F">
      <w:pPr>
        <w:pStyle w:val="FootnoteText"/>
        <w:spacing w:after="0"/>
        <w:rPr>
          <w:lang w:val="en-IE"/>
        </w:rPr>
      </w:pPr>
      <w:r>
        <w:rPr>
          <w:rStyle w:val="FootnoteReference"/>
        </w:rPr>
        <w:footnoteRef/>
      </w:r>
      <w:r>
        <w:t xml:space="preserve"> </w:t>
      </w:r>
      <w:r w:rsidRPr="00557833">
        <w:t>See Europol, European Union Serious and Organised Crime Threat Assessment – The changing DNA of serious and organised crime, Publications Office of the European Union, Luxembourg, 2025; Europol, European Union Terrorism Situation and Trend Report, Publications Office of the European Union, Luxembourg, 2025.</w:t>
      </w:r>
    </w:p>
  </w:footnote>
  <w:footnote w:id="14">
    <w:p w14:paraId="1B81952B" w14:textId="3ECAD550" w:rsidR="00C93342" w:rsidRPr="009A39FA" w:rsidRDefault="00C93342" w:rsidP="00172619">
      <w:pPr>
        <w:pStyle w:val="FootnoteText"/>
        <w:spacing w:after="0"/>
        <w:rPr>
          <w:lang w:val="en-IE"/>
        </w:rPr>
      </w:pPr>
      <w:r>
        <w:rPr>
          <w:rStyle w:val="FootnoteReference"/>
        </w:rPr>
        <w:footnoteRef/>
      </w:r>
      <w:r>
        <w:t xml:space="preserve"> </w:t>
      </w:r>
      <w:r w:rsidRPr="00D03815">
        <w:t>Hawala is an informal, trust-based money</w:t>
      </w:r>
      <w:r w:rsidR="00D10A06">
        <w:t>-</w:t>
      </w:r>
      <w:r w:rsidRPr="00D03815">
        <w:t>transfer system often used for money remittances. It operates outside traditional banking, without using authorised financial institutions.</w:t>
      </w:r>
    </w:p>
  </w:footnote>
  <w:footnote w:id="15">
    <w:p w14:paraId="275A054F" w14:textId="3F3914B9" w:rsidR="00D80F2F" w:rsidRPr="00557833" w:rsidRDefault="00D80F2F" w:rsidP="00D80F2F">
      <w:pPr>
        <w:pStyle w:val="FootnoteText"/>
        <w:spacing w:after="0"/>
        <w:rPr>
          <w:lang w:val="en-IE"/>
        </w:rPr>
      </w:pPr>
      <w:r>
        <w:rPr>
          <w:rStyle w:val="FootnoteReference"/>
        </w:rPr>
        <w:footnoteRef/>
      </w:r>
      <w:r>
        <w:t xml:space="preserve"> </w:t>
      </w:r>
      <w:r w:rsidRPr="00557833">
        <w:t xml:space="preserve">In particular, the EU created the Authority for Anti-Money Laundering and Countering the Financing of Terrorism, on the basis of Regulation (EU) 2024/1620 of the European Parliament and of the Council of 31 May 2024 establishing the Authority for Anti-Money Laundering and Countering the Financing of Terrorism, OJ L, 2024/1620, 19.6.2024. AMLA will also support closer cooperation among </w:t>
      </w:r>
      <w:r w:rsidR="00D10A06">
        <w:t>F</w:t>
      </w:r>
      <w:r w:rsidRPr="00557833">
        <w:t xml:space="preserve">inancial </w:t>
      </w:r>
      <w:r w:rsidR="00D10A06">
        <w:t>I</w:t>
      </w:r>
      <w:r w:rsidRPr="00557833">
        <w:t xml:space="preserve">ntelligence </w:t>
      </w:r>
      <w:r w:rsidR="00D10A06">
        <w:t>U</w:t>
      </w:r>
      <w:r w:rsidRPr="00557833">
        <w:t>nits (FIUs).</w:t>
      </w:r>
    </w:p>
  </w:footnote>
  <w:footnote w:id="16">
    <w:p w14:paraId="438A7F24" w14:textId="358B2EAC" w:rsidR="00D80F2F" w:rsidRPr="001B77E7" w:rsidRDefault="00D80F2F" w:rsidP="00D80F2F">
      <w:pPr>
        <w:pStyle w:val="FootnoteText"/>
        <w:spacing w:after="0"/>
        <w:rPr>
          <w:lang w:val="en-IE"/>
        </w:rPr>
      </w:pPr>
      <w:r>
        <w:rPr>
          <w:rStyle w:val="FootnoteReference"/>
        </w:rPr>
        <w:footnoteRef/>
      </w:r>
      <w:r>
        <w:t xml:space="preserve"> </w:t>
      </w:r>
      <w:r w:rsidRPr="001B77E7">
        <w:t xml:space="preserve">See in particular the EU’s </w:t>
      </w:r>
      <w:r w:rsidR="00821E6E">
        <w:t>‘</w:t>
      </w:r>
      <w:r w:rsidRPr="001B77E7">
        <w:t>Anti-Money Laundering Package</w:t>
      </w:r>
      <w:r w:rsidR="00821E6E">
        <w:t>’</w:t>
      </w:r>
      <w:r w:rsidRPr="001B77E7">
        <w:t xml:space="preserve"> adopted in 2024, including Regulation (EU) 2024/1624 of 31 May 2024 on the prevention of the use of the financial system for the purposes of money laundering or terrorist financing, OJ L, 2024/1624, 19.6.2024, and Directive (EU) 2015/849 of 20</w:t>
      </w:r>
      <w:r w:rsidR="0069346E">
        <w:t xml:space="preserve"> </w:t>
      </w:r>
      <w:r w:rsidRPr="001B77E7">
        <w:t>May 2015 on the prevention of the use of the financial system for the purposes of money laundering or terrorist financing, OJ L 141, 5.6.2015.</w:t>
      </w:r>
    </w:p>
  </w:footnote>
  <w:footnote w:id="17">
    <w:p w14:paraId="333C60F2" w14:textId="378A53B4" w:rsidR="00D80F2F" w:rsidRPr="001E3032" w:rsidRDefault="00D80F2F" w:rsidP="00D80F2F">
      <w:pPr>
        <w:pStyle w:val="FootnoteText"/>
        <w:spacing w:after="0"/>
        <w:rPr>
          <w:lang w:val="en-IE"/>
        </w:rPr>
      </w:pPr>
      <w:r>
        <w:rPr>
          <w:rStyle w:val="FootnoteReference"/>
        </w:rPr>
        <w:footnoteRef/>
      </w:r>
      <w:r>
        <w:t xml:space="preserve"> </w:t>
      </w:r>
      <w:r w:rsidRPr="001E3032">
        <w:t xml:space="preserve">See in particular Directive (EU) 2024/1260 of 24 April 2024 on asset recovery and confiscation, OJ L, 2024/1260, 2.5.2024. This </w:t>
      </w:r>
      <w:r w:rsidR="0069346E">
        <w:t>D</w:t>
      </w:r>
      <w:r w:rsidR="0069346E" w:rsidRPr="001E3032">
        <w:t xml:space="preserve">irective </w:t>
      </w:r>
      <w:r w:rsidRPr="001E3032">
        <w:t>also introduces the obligation to conduct parallel financial investigations into organised crime cases.</w:t>
      </w:r>
    </w:p>
  </w:footnote>
  <w:footnote w:id="18">
    <w:p w14:paraId="2E5FE7BA" w14:textId="77777777" w:rsidR="00D80F2F" w:rsidRPr="001E3032" w:rsidRDefault="00D80F2F" w:rsidP="00D80F2F">
      <w:pPr>
        <w:pStyle w:val="FootnoteText"/>
        <w:spacing w:after="0"/>
        <w:rPr>
          <w:lang w:val="en-IE"/>
        </w:rPr>
      </w:pPr>
      <w:r>
        <w:rPr>
          <w:rStyle w:val="FootnoteReference"/>
        </w:rPr>
        <w:footnoteRef/>
      </w:r>
      <w:r>
        <w:t xml:space="preserve"> </w:t>
      </w:r>
      <w:r w:rsidRPr="00BF4C70">
        <w:rPr>
          <w:lang w:val="en-US"/>
        </w:rPr>
        <w:t xml:space="preserve">See in particular Regulation (EU) 2023/1114 of 31 May 2023 on markets in crypto-assets, </w:t>
      </w:r>
      <w:r w:rsidRPr="00BF4C70">
        <w:rPr>
          <w:lang w:val="en-IE"/>
        </w:rPr>
        <w:t>OJ L 150, 9.6.2023, and Regulation (EU) 2023/1113 of 31 May 2023 on information accompanying transfers of funds and certain crypto-assets, OJ L 150, 9.6.2023, pp. 1–3.</w:t>
      </w:r>
    </w:p>
  </w:footnote>
  <w:footnote w:id="19">
    <w:p w14:paraId="30498CCF" w14:textId="77777777" w:rsidR="00D80F2F" w:rsidRPr="001E3032" w:rsidRDefault="00D80F2F" w:rsidP="00D80F2F">
      <w:pPr>
        <w:pStyle w:val="FootnoteText"/>
        <w:spacing w:after="0"/>
        <w:rPr>
          <w:lang w:val="en-IE"/>
        </w:rPr>
      </w:pPr>
      <w:r>
        <w:rPr>
          <w:rStyle w:val="FootnoteReference"/>
        </w:rPr>
        <w:footnoteRef/>
      </w:r>
      <w:r>
        <w:t xml:space="preserve"> </w:t>
      </w:r>
      <w:r w:rsidRPr="00BF4C70">
        <w:rPr>
          <w:lang w:val="en-US"/>
        </w:rPr>
        <w:t>See Directive (EU) 2024/1654 of 31 May 2024 amending Directive (EU) 2019/1153 as regards access by competent authorities to centralised bank account registries through the interconnection system and technical measures to facilitate the use of transaction records, OJ L, 2024/1654, 19.6.2024.</w:t>
      </w:r>
    </w:p>
  </w:footnote>
  <w:footnote w:id="20">
    <w:p w14:paraId="10ABAA8F" w14:textId="142B37EC" w:rsidR="00D80F2F" w:rsidRPr="001E3032" w:rsidRDefault="00D80F2F" w:rsidP="00D80F2F">
      <w:pPr>
        <w:pStyle w:val="FootnoteText"/>
        <w:spacing w:after="0"/>
      </w:pPr>
      <w:r>
        <w:rPr>
          <w:rStyle w:val="FootnoteReference"/>
        </w:rPr>
        <w:footnoteRef/>
      </w:r>
      <w:r>
        <w:t xml:space="preserve"> </w:t>
      </w:r>
      <w:r w:rsidRPr="7E414BB1">
        <w:rPr>
          <w:lang w:val="en-US"/>
        </w:rPr>
        <w:t xml:space="preserve">At EU-level </w:t>
      </w:r>
      <w:r w:rsidRPr="30A866E3">
        <w:rPr>
          <w:lang w:val="en-US"/>
        </w:rPr>
        <w:t>for example</w:t>
      </w:r>
      <w:r w:rsidRPr="7E414BB1">
        <w:rPr>
          <w:lang w:val="en-US"/>
        </w:rPr>
        <w:t xml:space="preserve"> through the new EU </w:t>
      </w:r>
      <w:r w:rsidRPr="0C9EC938">
        <w:rPr>
          <w:lang w:val="en-US"/>
        </w:rPr>
        <w:t xml:space="preserve">Authority for Anti-Money Laundering and Countering the Financing </w:t>
      </w:r>
      <w:r w:rsidRPr="30A866E3">
        <w:rPr>
          <w:lang w:val="en-US"/>
        </w:rPr>
        <w:t>of Terrorism</w:t>
      </w:r>
      <w:r w:rsidR="00053FA4">
        <w:rPr>
          <w:lang w:val="en-US"/>
        </w:rPr>
        <w:t xml:space="preserve">, </w:t>
      </w:r>
      <w:r w:rsidR="00531177">
        <w:rPr>
          <w:lang w:val="en-US"/>
        </w:rPr>
        <w:t>which started its operations in 2025</w:t>
      </w:r>
      <w:r w:rsidRPr="30A866E3">
        <w:rPr>
          <w:lang w:val="en-US"/>
        </w:rPr>
        <w:t xml:space="preserve">. </w:t>
      </w:r>
      <w:r w:rsidRPr="7E414BB1">
        <w:rPr>
          <w:lang w:val="en-US"/>
        </w:rPr>
        <w:t xml:space="preserve"> </w:t>
      </w:r>
    </w:p>
  </w:footnote>
  <w:footnote w:id="21">
    <w:p w14:paraId="24BADCC2" w14:textId="77777777" w:rsidR="00D80F2F" w:rsidRPr="001E3032" w:rsidRDefault="00D80F2F" w:rsidP="00D80F2F">
      <w:pPr>
        <w:pStyle w:val="FootnoteText"/>
        <w:spacing w:after="0"/>
        <w:rPr>
          <w:lang w:val="en-IE"/>
        </w:rPr>
      </w:pPr>
      <w:r>
        <w:rPr>
          <w:rStyle w:val="FootnoteReference"/>
        </w:rPr>
        <w:footnoteRef/>
      </w:r>
      <w:r>
        <w:t xml:space="preserve"> </w:t>
      </w:r>
      <w:r w:rsidRPr="00BF4C70">
        <w:rPr>
          <w:lang w:val="en-IE"/>
        </w:rPr>
        <w:t>See for example</w:t>
      </w:r>
      <w:r w:rsidRPr="00BF4C70">
        <w:rPr>
          <w:rFonts w:eastAsia="Calibri"/>
          <w:lang w:val="en-IE"/>
        </w:rPr>
        <w:t xml:space="preserve"> Europol Financial Intelligence Public Private partnership (EFIPPP), EFIPPP Practical Guide for Operational Cooperation between Investigative Authorities and Financial Institutions, Publication Office of the European Union, Luxembourg, 2025.</w:t>
      </w:r>
    </w:p>
  </w:footnote>
  <w:footnote w:id="22">
    <w:p w14:paraId="0069AD35" w14:textId="2F5C4086" w:rsidR="00553A75" w:rsidRPr="009A39FA" w:rsidRDefault="00553A75" w:rsidP="00172619">
      <w:pPr>
        <w:pStyle w:val="FootnoteText"/>
        <w:spacing w:after="0"/>
        <w:rPr>
          <w:lang w:val="en-US"/>
        </w:rPr>
      </w:pPr>
      <w:r>
        <w:rPr>
          <w:rStyle w:val="FootnoteReference"/>
        </w:rPr>
        <w:footnoteRef/>
      </w:r>
      <w:r>
        <w:t xml:space="preserve"> </w:t>
      </w:r>
      <w:r w:rsidRPr="009A39FA">
        <w:rPr>
          <w:lang w:val="en-US"/>
        </w:rPr>
        <w:t xml:space="preserve">One of the evaluation questions </w:t>
      </w:r>
      <w:r w:rsidR="006D7E14">
        <w:rPr>
          <w:lang w:val="en-US"/>
        </w:rPr>
        <w:t xml:space="preserve">relates to the </w:t>
      </w:r>
      <w:r w:rsidR="006D7E14" w:rsidRPr="009A39FA">
        <w:rPr>
          <w:lang w:val="en-US"/>
        </w:rPr>
        <w:t xml:space="preserve">extent </w:t>
      </w:r>
      <w:r w:rsidR="006D7E14" w:rsidRPr="009A39FA">
        <w:rPr>
          <w:rFonts w:eastAsia="Verdana"/>
          <w:lang w:val="en-US"/>
        </w:rPr>
        <w:t xml:space="preserve">to </w:t>
      </w:r>
      <w:r w:rsidR="0013477B" w:rsidRPr="009A39FA">
        <w:rPr>
          <w:lang w:val="en-US"/>
        </w:rPr>
        <w:t>which there</w:t>
      </w:r>
      <w:r w:rsidR="006D7E14" w:rsidRPr="009A39FA">
        <w:rPr>
          <w:rFonts w:eastAsia="Verdana"/>
          <w:lang w:val="en-US"/>
        </w:rPr>
        <w:t xml:space="preserve"> were any legislative national measures already in place before the adoption of the Directive</w:t>
      </w:r>
      <w:r w:rsidR="0013477B">
        <w:rPr>
          <w:lang w:val="en-US"/>
        </w:rPr>
        <w:t>.</w:t>
      </w:r>
    </w:p>
  </w:footnote>
  <w:footnote w:id="23">
    <w:p w14:paraId="7A34C3D0" w14:textId="1BBED24B" w:rsidR="004D54F9" w:rsidRPr="009A39FA" w:rsidRDefault="004D54F9" w:rsidP="00172619">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pages 32-25.</w:t>
      </w:r>
    </w:p>
  </w:footnote>
  <w:footnote w:id="24">
    <w:p w14:paraId="25CFC732" w14:textId="47B7168F" w:rsidR="00DD088B" w:rsidRPr="00F02686" w:rsidRDefault="00DD088B">
      <w:pPr>
        <w:pStyle w:val="FootnoteText"/>
        <w:rPr>
          <w:lang w:val="en-IE"/>
        </w:rPr>
      </w:pPr>
      <w:r>
        <w:rPr>
          <w:rStyle w:val="FootnoteReference"/>
        </w:rPr>
        <w:footnoteRef/>
      </w:r>
      <w:r>
        <w:t xml:space="preserve"> </w:t>
      </w:r>
      <w:r w:rsidRPr="00DD088B">
        <w:t xml:space="preserve">According to Art. 83 TFEU, </w:t>
      </w:r>
      <w:r w:rsidR="00532DB6">
        <w:t>e</w:t>
      </w:r>
      <w:r w:rsidRPr="00DD088B">
        <w:t>urocrimes are particularly serious crimes with a cross-border dimension resulting from the nature or impact of such offenses or from a special need to combat them on a common basis. They are the following: terrorism, trafficking in human beings and sexual exploitation of women and children, illicit drug trafficking, illicit arms trafficking, money laundering, corruption, counterfeiting of means of payment, computer crime and organised crime.</w:t>
      </w:r>
    </w:p>
  </w:footnote>
  <w:footnote w:id="25">
    <w:p w14:paraId="6E68D0A4" w14:textId="1DCA2752" w:rsidR="000A4DD2" w:rsidRPr="009A39FA" w:rsidRDefault="000A4DD2" w:rsidP="009A39FA">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 33.</w:t>
      </w:r>
    </w:p>
  </w:footnote>
  <w:footnote w:id="26">
    <w:p w14:paraId="689A2D56" w14:textId="60DFD190" w:rsidR="008E1A73" w:rsidRPr="008E1A73" w:rsidRDefault="008E1A73" w:rsidP="009A39FA">
      <w:pPr>
        <w:pStyle w:val="FootnoteText"/>
        <w:spacing w:after="0"/>
      </w:pPr>
      <w:r>
        <w:rPr>
          <w:rStyle w:val="FootnoteReference"/>
        </w:rPr>
        <w:footnoteRef/>
      </w:r>
      <w:r w:rsidR="006900CC" w:rsidRPr="006900CC">
        <w:t>https://www.eurojust.europa.eu/news/eurojust-leads-efforts-step-judicial-response-money-laundering-and-asset-recovery</w:t>
      </w:r>
    </w:p>
  </w:footnote>
  <w:footnote w:id="27">
    <w:p w14:paraId="64E825B1" w14:textId="3D4C76AC" w:rsidR="00226064" w:rsidRPr="009A39FA" w:rsidRDefault="00C91C09" w:rsidP="009A39FA">
      <w:pPr>
        <w:pStyle w:val="FootnoteText"/>
        <w:spacing w:after="0"/>
        <w:rPr>
          <w:lang w:val="en-IE"/>
        </w:rPr>
      </w:pPr>
      <w:r>
        <w:rPr>
          <w:rStyle w:val="FootnoteReference"/>
        </w:rPr>
        <w:footnoteRef/>
      </w:r>
      <w:r w:rsidR="00226064" w:rsidRPr="003F5357">
        <w:rPr>
          <w:szCs w:val="16"/>
        </w:rPr>
        <w:t xml:space="preserve">Eurojust (2022), Report on Money-Laundering, p. 8 available </w:t>
      </w:r>
      <w:hyperlink r:id="rId4" w:history="1">
        <w:r w:rsidR="00226064" w:rsidRPr="003F5357">
          <w:rPr>
            <w:rStyle w:val="Hyperlink"/>
            <w:szCs w:val="16"/>
          </w:rPr>
          <w:t>here</w:t>
        </w:r>
      </w:hyperlink>
      <w:r w:rsidR="009121DB">
        <w:rPr>
          <w:rStyle w:val="Hyperlink"/>
          <w:szCs w:val="16"/>
        </w:rPr>
        <w:t>:</w:t>
      </w:r>
      <w:r w:rsidR="00213C8B">
        <w:rPr>
          <w:rStyle w:val="Hyperlink"/>
          <w:szCs w:val="16"/>
        </w:rPr>
        <w:t xml:space="preserve"> </w:t>
      </w:r>
      <w:r w:rsidR="00213C8B" w:rsidRPr="00213C8B">
        <w:rPr>
          <w:rStyle w:val="Hyperlink"/>
          <w:szCs w:val="16"/>
        </w:rPr>
        <w:t>https://www.eurojust.europa.eu/publication/eurojust-report-money-laundering</w:t>
      </w:r>
    </w:p>
  </w:footnote>
  <w:footnote w:id="28">
    <w:p w14:paraId="5CCAF5F4" w14:textId="6B5F1AF9" w:rsidR="00030CC6" w:rsidRPr="00584360" w:rsidRDefault="00030CC6" w:rsidP="006900CC">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 2</w:t>
      </w:r>
      <w:r w:rsidR="009121DB">
        <w:t>7</w:t>
      </w:r>
      <w:r>
        <w:t>.</w:t>
      </w:r>
    </w:p>
  </w:footnote>
  <w:footnote w:id="29">
    <w:p w14:paraId="714A7C7C" w14:textId="77777777" w:rsidR="00030CC6" w:rsidRPr="00BF4C70" w:rsidRDefault="00030CC6" w:rsidP="00226064">
      <w:pPr>
        <w:pStyle w:val="FootnoteText"/>
        <w:spacing w:after="0"/>
        <w:rPr>
          <w:lang w:val="en-IE"/>
        </w:rPr>
      </w:pPr>
      <w:r>
        <w:rPr>
          <w:rStyle w:val="FootnoteReference"/>
        </w:rPr>
        <w:footnoteRef/>
      </w:r>
      <w:r>
        <w:t xml:space="preserve"> </w:t>
      </w:r>
      <w:r w:rsidRPr="008A47B8">
        <w:rPr>
          <w:i/>
          <w:iCs/>
          <w:lang w:val="en-IE"/>
        </w:rPr>
        <w:t>Ibid</w:t>
      </w:r>
      <w:r>
        <w:rPr>
          <w:lang w:val="en-IE"/>
        </w:rPr>
        <w:t>.</w:t>
      </w:r>
    </w:p>
  </w:footnote>
  <w:footnote w:id="30">
    <w:p w14:paraId="5196A1FF" w14:textId="74E2BB8B" w:rsidR="00030CC6" w:rsidRPr="00BF4C70" w:rsidRDefault="00030CC6" w:rsidP="004566B8">
      <w:pPr>
        <w:pStyle w:val="FootnoteText"/>
        <w:spacing w:after="0"/>
        <w:rPr>
          <w:lang w:val="en-IE"/>
        </w:rPr>
      </w:pPr>
      <w:r>
        <w:rPr>
          <w:rStyle w:val="FootnoteReference"/>
        </w:rPr>
        <w:footnoteRef/>
      </w:r>
      <w:r>
        <w:t xml:space="preserve"> </w:t>
      </w:r>
      <w:r>
        <w:rPr>
          <w:lang w:val="en-IE"/>
        </w:rPr>
        <w:t xml:space="preserve">See also </w:t>
      </w:r>
      <w:r w:rsidRPr="00AD2FD9">
        <w:rPr>
          <w:lang w:val="en-IE"/>
        </w:rPr>
        <w:t xml:space="preserve">Eurojust (2022), Report on Money-Laundering, p.8 </w:t>
      </w:r>
      <w:r w:rsidR="00FE7045">
        <w:rPr>
          <w:i/>
          <w:iCs/>
          <w:lang w:val="en-IE"/>
        </w:rPr>
        <w:t>‘</w:t>
      </w:r>
      <w:r w:rsidRPr="00AD2FD9">
        <w:rPr>
          <w:i/>
          <w:iCs/>
          <w:lang w:val="en-IE"/>
        </w:rPr>
        <w:t>This has an impact on international cooperation, as prosecutors from these countries are more reluctant to start money laundering investigations</w:t>
      </w:r>
      <w:r w:rsidR="00885484">
        <w:rPr>
          <w:i/>
          <w:iCs/>
          <w:lang w:val="en-IE"/>
        </w:rPr>
        <w:t>’</w:t>
      </w:r>
      <w:r w:rsidR="00885484" w:rsidRPr="00AD2FD9">
        <w:rPr>
          <w:i/>
          <w:iCs/>
          <w:lang w:val="en-IE"/>
        </w:rPr>
        <w:t>.</w:t>
      </w:r>
      <w:r w:rsidR="00885484" w:rsidRPr="00AD2FD9">
        <w:rPr>
          <w:lang w:val="en-IE"/>
        </w:rPr>
        <w:t>  </w:t>
      </w:r>
    </w:p>
  </w:footnote>
  <w:footnote w:id="31">
    <w:p w14:paraId="6F9E8F1B" w14:textId="77777777" w:rsidR="00096D30" w:rsidRPr="00161031" w:rsidRDefault="00096D30" w:rsidP="009A39FA">
      <w:pPr>
        <w:pStyle w:val="FootnoteText"/>
        <w:spacing w:after="0"/>
        <w:rPr>
          <w:lang w:val="en-US"/>
        </w:rPr>
      </w:pPr>
      <w:r>
        <w:rPr>
          <w:rStyle w:val="FootnoteReference"/>
        </w:rPr>
        <w:footnoteRef/>
      </w:r>
      <w:r>
        <w:t xml:space="preserve"> </w:t>
      </w:r>
      <w:r w:rsidRPr="00161031">
        <w:rPr>
          <w:lang w:val="en-IE"/>
        </w:rPr>
        <w:t xml:space="preserve">Recital 11 states that money laundering should at least be punishable </w:t>
      </w:r>
      <w:r w:rsidRPr="00161031">
        <w:rPr>
          <w:i/>
          <w:iCs/>
          <w:lang w:val="en-IE"/>
        </w:rPr>
        <w:t>“where, the money laundering activity does not simply amount to the mere possession or use of property, but also involves the transfer, conversion, concealment or disguise of property and results in further damage than that already caused by the criminal activity, for instance by putting the property derived from criminal activity into circulation and, by doing so, concealing its unlawful origin”.</w:t>
      </w:r>
    </w:p>
  </w:footnote>
  <w:footnote w:id="32">
    <w:p w14:paraId="600A0C61" w14:textId="77A6B1E3" w:rsidR="004172CE" w:rsidRPr="009A39FA" w:rsidRDefault="004172CE" w:rsidP="009A39FA">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 29.</w:t>
      </w:r>
    </w:p>
  </w:footnote>
  <w:footnote w:id="33">
    <w:p w14:paraId="7EF0AB07" w14:textId="2DAAE3CB" w:rsidR="009A6099" w:rsidRPr="009A39FA" w:rsidRDefault="009A6099" w:rsidP="009A39FA">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 30.</w:t>
      </w:r>
    </w:p>
  </w:footnote>
  <w:footnote w:id="34">
    <w:p w14:paraId="64ED3C54" w14:textId="37115392" w:rsidR="008B2257" w:rsidRPr="009A39FA" w:rsidRDefault="008B2257" w:rsidP="008B2257">
      <w:pPr>
        <w:pStyle w:val="FootnoteText"/>
        <w:rPr>
          <w:lang w:val="en-US"/>
        </w:rPr>
      </w:pPr>
      <w:r>
        <w:rPr>
          <w:rStyle w:val="FootnoteReference"/>
        </w:rPr>
        <w:footnoteRef/>
      </w:r>
      <w:r>
        <w:t xml:space="preserve"> </w:t>
      </w:r>
      <w:r w:rsidR="00350088">
        <w:t>D</w:t>
      </w:r>
      <w:r>
        <w:t>irective (EU) 2024/1260 of the European Parliament and of the Council of 24 April 2024 on asset recovery and confiscation, OJ L, 2024/1260, 2.5.2024</w:t>
      </w:r>
    </w:p>
  </w:footnote>
  <w:footnote w:id="35">
    <w:p w14:paraId="78662E47" w14:textId="77777777" w:rsidR="000961C4" w:rsidRPr="00EA58C2" w:rsidRDefault="000961C4" w:rsidP="000961C4">
      <w:pPr>
        <w:pStyle w:val="FootnoteText"/>
        <w:rPr>
          <w:lang w:val="en-IE"/>
        </w:rPr>
      </w:pPr>
      <w:r w:rsidRPr="00EA58C2">
        <w:rPr>
          <w:rStyle w:val="FootnoteReference"/>
        </w:rPr>
        <w:footnoteRef/>
      </w:r>
      <w:r w:rsidRPr="00EA58C2">
        <w:t xml:space="preserve"> That is the principle whereby jurisdiction can only be established where the conduct in question is criminalised both in the prosecuting state and in the state in which it was committed.</w:t>
      </w:r>
    </w:p>
  </w:footnote>
  <w:footnote w:id="36">
    <w:p w14:paraId="57C40568" w14:textId="77777777" w:rsidR="0020068A" w:rsidRPr="00885D2B" w:rsidRDefault="0020068A" w:rsidP="0020068A">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 37.</w:t>
      </w:r>
    </w:p>
  </w:footnote>
  <w:footnote w:id="37">
    <w:p w14:paraId="16105348" w14:textId="77777777" w:rsidR="0020068A" w:rsidRPr="00885D2B" w:rsidRDefault="0020068A" w:rsidP="0020068A">
      <w:pPr>
        <w:pStyle w:val="FootnoteText"/>
        <w:spacing w:after="0"/>
      </w:pPr>
      <w:r>
        <w:rPr>
          <w:rStyle w:val="FootnoteReference"/>
        </w:rPr>
        <w:footnoteRef/>
      </w:r>
      <w:r>
        <w:t xml:space="preserve"> </w:t>
      </w:r>
      <w:r w:rsidRPr="008A47B8">
        <w:rPr>
          <w:i/>
          <w:iCs/>
        </w:rPr>
        <w:t>Ibid</w:t>
      </w:r>
      <w:r>
        <w:t>.</w:t>
      </w:r>
    </w:p>
  </w:footnote>
  <w:footnote w:id="38">
    <w:p w14:paraId="0B57A53C" w14:textId="77777777" w:rsidR="0020068A" w:rsidRPr="00885D2B" w:rsidRDefault="0020068A" w:rsidP="0020068A">
      <w:pPr>
        <w:pStyle w:val="FootnoteText"/>
        <w:spacing w:after="0"/>
      </w:pPr>
      <w:r>
        <w:rPr>
          <w:rStyle w:val="FootnoteReference"/>
        </w:rPr>
        <w:footnoteRef/>
      </w:r>
      <w:r>
        <w:t xml:space="preserve"> </w:t>
      </w:r>
      <w:r w:rsidRPr="008A47B8">
        <w:rPr>
          <w:i/>
          <w:iCs/>
        </w:rPr>
        <w:t>Ibid</w:t>
      </w:r>
      <w:r>
        <w:t>.</w:t>
      </w:r>
    </w:p>
  </w:footnote>
  <w:footnote w:id="39">
    <w:p w14:paraId="53180979" w14:textId="6EC414E4" w:rsidR="0032205E" w:rsidRPr="00F02686" w:rsidRDefault="0032205E" w:rsidP="00F02686">
      <w:pPr>
        <w:pStyle w:val="FootnoteText"/>
        <w:spacing w:after="0"/>
        <w:rPr>
          <w:lang w:val="en-IE"/>
        </w:rPr>
      </w:pPr>
      <w:r>
        <w:rPr>
          <w:rStyle w:val="FootnoteReference"/>
        </w:rPr>
        <w:footnoteRef/>
      </w:r>
      <w:r>
        <w:t xml:space="preserve"> </w:t>
      </w:r>
      <w:r w:rsidRPr="0032205E">
        <w:t>Directive (EU) 2024/1640 of the European Parliament and of the Council of 31 May 2024 on the mechanisms to be put in place by Member States for the prevention of the use of the financial system for the purposes of money laundering or terrorist financing, amending Directive(EU) 2019/1937, and amending and repealing Directive (EU) 2015/849.</w:t>
      </w:r>
    </w:p>
  </w:footnote>
  <w:footnote w:id="40">
    <w:p w14:paraId="6B6A8462" w14:textId="77777777" w:rsidR="0020068A" w:rsidRPr="00D72518" w:rsidRDefault="0020068A" w:rsidP="003D1522">
      <w:pPr>
        <w:pStyle w:val="FootnoteText"/>
        <w:spacing w:after="0"/>
      </w:pPr>
      <w:r>
        <w:rPr>
          <w:rStyle w:val="FootnoteReference"/>
        </w:rPr>
        <w:footnoteRef/>
      </w:r>
      <w:r>
        <w:t xml:space="preserve"> Deloitte (2024). </w:t>
      </w:r>
      <w:r w:rsidRPr="002A7010">
        <w:t xml:space="preserve">Evaluation of Directive (EU) 2018/1673 on the fight against money laundering by </w:t>
      </w:r>
      <w:r w:rsidRPr="00D72518">
        <w:t>criminal law, final report, page 39.</w:t>
      </w:r>
    </w:p>
  </w:footnote>
  <w:footnote w:id="41">
    <w:p w14:paraId="70659FE8" w14:textId="0E082E9B" w:rsidR="0020068A" w:rsidRPr="00A56091" w:rsidRDefault="0020068A" w:rsidP="00D26B6E">
      <w:pPr>
        <w:pStyle w:val="FootnoteText"/>
        <w:spacing w:after="0"/>
        <w:rPr>
          <w:highlight w:val="yellow"/>
        </w:rPr>
      </w:pPr>
      <w:r w:rsidRPr="00D72518">
        <w:rPr>
          <w:rStyle w:val="FootnoteReference"/>
        </w:rPr>
        <w:footnoteRef/>
      </w:r>
      <w:r w:rsidRPr="00D72518">
        <w:t xml:space="preserve"> </w:t>
      </w:r>
      <w:r w:rsidR="00104B38" w:rsidRPr="00D72518">
        <w:t>As further analysed in the</w:t>
      </w:r>
      <w:r w:rsidR="009102E0" w:rsidRPr="00D72518">
        <w:t xml:space="preserve"> transposition </w:t>
      </w:r>
      <w:r w:rsidR="00394F97" w:rsidRPr="00D72518">
        <w:t>report</w:t>
      </w:r>
      <w:r w:rsidR="00104B38" w:rsidRPr="00D72518">
        <w:t>.</w:t>
      </w:r>
    </w:p>
  </w:footnote>
  <w:footnote w:id="42">
    <w:p w14:paraId="05B46E50" w14:textId="77777777" w:rsidR="0020068A" w:rsidRPr="00015ADA" w:rsidRDefault="0020068A" w:rsidP="0020068A">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 39.</w:t>
      </w:r>
    </w:p>
  </w:footnote>
  <w:footnote w:id="43">
    <w:p w14:paraId="5FA56293" w14:textId="4A4B1AC7" w:rsidR="005C0869" w:rsidRPr="00161031" w:rsidRDefault="005C0869" w:rsidP="009A39FA">
      <w:pPr>
        <w:pStyle w:val="FootnoteText"/>
        <w:spacing w:after="0"/>
        <w:rPr>
          <w:lang w:val="en-US"/>
        </w:rPr>
      </w:pPr>
      <w:r>
        <w:rPr>
          <w:rStyle w:val="FootnoteReference"/>
        </w:rPr>
        <w:footnoteRef/>
      </w:r>
      <w:r>
        <w:t xml:space="preserve"> </w:t>
      </w:r>
      <w:r w:rsidRPr="00161031">
        <w:rPr>
          <w:lang w:val="en-US"/>
        </w:rPr>
        <w:t>J</w:t>
      </w:r>
      <w:r>
        <w:rPr>
          <w:lang w:val="en-US"/>
        </w:rPr>
        <w:t>As</w:t>
      </w:r>
      <w:r w:rsidRPr="00161031">
        <w:rPr>
          <w:lang w:val="en-US"/>
        </w:rPr>
        <w:t xml:space="preserve">: judicial authorities; LEAs: </w:t>
      </w:r>
      <w:r w:rsidR="000743F5">
        <w:rPr>
          <w:lang w:val="en-US"/>
        </w:rPr>
        <w:t>l</w:t>
      </w:r>
      <w:r w:rsidR="000743F5" w:rsidRPr="00161031">
        <w:rPr>
          <w:lang w:val="en-US"/>
        </w:rPr>
        <w:t xml:space="preserve">aw </w:t>
      </w:r>
      <w:r w:rsidR="000743F5">
        <w:rPr>
          <w:lang w:val="en-US"/>
        </w:rPr>
        <w:t>e</w:t>
      </w:r>
      <w:r w:rsidRPr="00161031">
        <w:rPr>
          <w:lang w:val="en-US"/>
        </w:rPr>
        <w:t xml:space="preserve">nforcement </w:t>
      </w:r>
      <w:r w:rsidR="000743F5">
        <w:rPr>
          <w:lang w:val="en-US"/>
        </w:rPr>
        <w:t>a</w:t>
      </w:r>
      <w:r w:rsidRPr="00161031">
        <w:rPr>
          <w:lang w:val="en-US"/>
        </w:rPr>
        <w:t>uthorities</w:t>
      </w:r>
      <w:r>
        <w:rPr>
          <w:lang w:val="en-US"/>
        </w:rPr>
        <w:t xml:space="preserve">; NGOs: non-governmental organisations. </w:t>
      </w:r>
    </w:p>
  </w:footnote>
  <w:footnote w:id="44">
    <w:p w14:paraId="10E9BA10" w14:textId="77777777" w:rsidR="0020068A" w:rsidRPr="00645730" w:rsidRDefault="0020068A" w:rsidP="00943DDF">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 38.</w:t>
      </w:r>
    </w:p>
  </w:footnote>
  <w:footnote w:id="45">
    <w:p w14:paraId="7193BA92" w14:textId="77777777" w:rsidR="0020068A" w:rsidRPr="00BF4C70" w:rsidRDefault="0020068A" w:rsidP="00943DDF">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pages 45-46.</w:t>
      </w:r>
    </w:p>
  </w:footnote>
  <w:footnote w:id="46">
    <w:p w14:paraId="4B696D2C" w14:textId="77777777" w:rsidR="0020068A" w:rsidRPr="00645730" w:rsidRDefault="0020068A" w:rsidP="00943DDF">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 46.</w:t>
      </w:r>
    </w:p>
  </w:footnote>
  <w:footnote w:id="47">
    <w:p w14:paraId="32B50D27" w14:textId="77777777" w:rsidR="0020068A" w:rsidRPr="00BF4C70" w:rsidRDefault="0020068A" w:rsidP="0020068A">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 45.</w:t>
      </w:r>
    </w:p>
  </w:footnote>
  <w:footnote w:id="48">
    <w:p w14:paraId="399CBCBA" w14:textId="77777777" w:rsidR="0082009C" w:rsidRPr="003B369F" w:rsidRDefault="0082009C" w:rsidP="0082009C">
      <w:pPr>
        <w:pStyle w:val="FootnoteText"/>
        <w:spacing w:after="0"/>
        <w:rPr>
          <w:lang w:val="en-US"/>
        </w:rPr>
      </w:pPr>
      <w:r>
        <w:rPr>
          <w:rStyle w:val="FootnoteReference"/>
        </w:rPr>
        <w:footnoteRef/>
      </w:r>
      <w:r>
        <w:t xml:space="preserve"> Directive 2014/41/EU of the European Parliament and of the Council of 3 April 2014 regarding the European Investigation Order in criminal matters, OJ L 130, 1.5.2014, pp. 1–36, and Directive (EU) 2023/977 of the European Parliament and of the Council of 10 May 2023 on the exchange of information between the law enforcement authorities of Member States and repealing Council Framework Decision 2006/960/JHA, OJ L 134, 22.5.2023, pp. 1–24.</w:t>
      </w:r>
    </w:p>
  </w:footnote>
  <w:footnote w:id="49">
    <w:p w14:paraId="33FB60D9" w14:textId="77777777" w:rsidR="0020068A" w:rsidRPr="00BF4C70" w:rsidRDefault="0020068A" w:rsidP="0020068A">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 41.</w:t>
      </w:r>
    </w:p>
  </w:footnote>
  <w:footnote w:id="50">
    <w:p w14:paraId="6F803A7F" w14:textId="77777777" w:rsidR="00392DE5" w:rsidRPr="00933C10" w:rsidRDefault="00392DE5" w:rsidP="00392DE5">
      <w:pPr>
        <w:pStyle w:val="FootnoteText"/>
        <w:spacing w:after="0"/>
        <w:rPr>
          <w:lang w:val="en-US"/>
        </w:rPr>
      </w:pPr>
      <w:r>
        <w:rPr>
          <w:rStyle w:val="FootnoteReference"/>
        </w:rPr>
        <w:footnoteRef/>
      </w:r>
      <w:r>
        <w:t xml:space="preserve"> Source: Eurojust Case Management System. DMU Reference: </w:t>
      </w:r>
      <w:r w:rsidRPr="008E2A63">
        <w:t>2026/OPD/DMU-3801/AW</w:t>
      </w:r>
      <w:r>
        <w:t xml:space="preserve">. </w:t>
      </w:r>
      <w:r w:rsidRPr="00BC1E2F">
        <w:t>Due to the ongoing nature of cases, the figures may change after the reporting date</w:t>
      </w:r>
      <w:r>
        <w:t>.</w:t>
      </w:r>
    </w:p>
  </w:footnote>
  <w:footnote w:id="51">
    <w:p w14:paraId="34C90F50" w14:textId="77777777" w:rsidR="0020068A" w:rsidRPr="00BF4C70" w:rsidRDefault="0020068A" w:rsidP="003070BE">
      <w:pPr>
        <w:pStyle w:val="FootnoteText"/>
        <w:spacing w:after="0"/>
        <w:rPr>
          <w:lang w:val="en-IE"/>
        </w:rPr>
      </w:pPr>
      <w:r>
        <w:rPr>
          <w:rStyle w:val="FootnoteReference"/>
        </w:rPr>
        <w:footnoteRef/>
      </w:r>
      <w:r>
        <w:t xml:space="preserve"> Deloitte (2024). </w:t>
      </w:r>
      <w:r w:rsidRPr="002A7010">
        <w:t>Evaluation of Directive (EU) 2018/1673 on the fight against money laundering by criminal law</w:t>
      </w:r>
      <w:r>
        <w:t>, final report, page 42.</w:t>
      </w:r>
    </w:p>
  </w:footnote>
  <w:footnote w:id="52">
    <w:p w14:paraId="3A4F6B27" w14:textId="29F5E4D8" w:rsidR="00AC001D" w:rsidRPr="00C36357" w:rsidRDefault="00AC001D" w:rsidP="00AC001D">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w:t>
      </w:r>
      <w:r w:rsidR="000D3831">
        <w:t>s</w:t>
      </w:r>
      <w:r>
        <w:t xml:space="preserve"> 50</w:t>
      </w:r>
      <w:r w:rsidR="000D3831">
        <w:t xml:space="preserve"> and 51</w:t>
      </w:r>
      <w:r w:rsidR="00DB7F9F">
        <w:t>.</w:t>
      </w:r>
    </w:p>
  </w:footnote>
  <w:footnote w:id="53">
    <w:p w14:paraId="13CE98F4" w14:textId="77777777" w:rsidR="00AC001D" w:rsidRPr="00FE2C58" w:rsidRDefault="00AC001D" w:rsidP="00AC001D">
      <w:pPr>
        <w:pStyle w:val="FootnoteText"/>
        <w:spacing w:after="0"/>
      </w:pPr>
      <w:r>
        <w:rPr>
          <w:rStyle w:val="FootnoteReference"/>
        </w:rPr>
        <w:footnoteRef/>
      </w:r>
      <w:r>
        <w:t xml:space="preserve"> </w:t>
      </w:r>
      <w:r w:rsidRPr="008A47B8">
        <w:rPr>
          <w:i/>
          <w:iCs/>
        </w:rPr>
        <w:t>Ibid</w:t>
      </w:r>
      <w:r>
        <w:t>.</w:t>
      </w:r>
    </w:p>
  </w:footnote>
  <w:footnote w:id="54">
    <w:p w14:paraId="59523D34" w14:textId="77777777" w:rsidR="00412F5A" w:rsidRPr="00BF4C70" w:rsidRDefault="00412F5A" w:rsidP="00412F5A">
      <w:pPr>
        <w:pStyle w:val="FootnoteText"/>
        <w:rPr>
          <w:lang w:val="en-IE"/>
        </w:rPr>
      </w:pPr>
      <w:r>
        <w:rPr>
          <w:rStyle w:val="FootnoteReference"/>
        </w:rPr>
        <w:footnoteRef/>
      </w:r>
      <w:r>
        <w:t xml:space="preserve"> Deloitte (2024). </w:t>
      </w:r>
      <w:r w:rsidRPr="002A7010">
        <w:t>Evaluation of Directive (EU) 2018/1673 on the fight against money laundering by criminal law</w:t>
      </w:r>
      <w:r>
        <w:t>, final report, page 53.</w:t>
      </w:r>
    </w:p>
  </w:footnote>
  <w:footnote w:id="55">
    <w:p w14:paraId="1FA0EC14" w14:textId="77777777" w:rsidR="00412F5A" w:rsidRPr="00F14717" w:rsidRDefault="00412F5A" w:rsidP="00412F5A">
      <w:pPr>
        <w:pStyle w:val="FootnoteText"/>
        <w:spacing w:after="0"/>
      </w:pPr>
      <w:r>
        <w:rPr>
          <w:rStyle w:val="FootnoteReference"/>
        </w:rPr>
        <w:footnoteRef/>
      </w:r>
      <w:r>
        <w:t xml:space="preserve"> Deloitte (2024). </w:t>
      </w:r>
      <w:r w:rsidRPr="002A7010">
        <w:t>Evaluation of Directive (EU) 2018/1673 on the fight against money laundering by criminal law</w:t>
      </w:r>
      <w:r>
        <w:t xml:space="preserve">, final report, page 54. </w:t>
      </w:r>
    </w:p>
  </w:footnote>
  <w:footnote w:id="56">
    <w:p w14:paraId="185D4C8E" w14:textId="0D2FDEF6" w:rsidR="003673D1" w:rsidRPr="009A39FA" w:rsidRDefault="003673D1" w:rsidP="00F02686">
      <w:pPr>
        <w:pStyle w:val="FootnoteText"/>
        <w:spacing w:after="0"/>
        <w:rPr>
          <w:lang w:val="fr-BE"/>
        </w:rPr>
      </w:pPr>
      <w:r>
        <w:rPr>
          <w:rStyle w:val="FootnoteReference"/>
        </w:rPr>
        <w:footnoteRef/>
      </w:r>
      <w:r w:rsidRPr="009A39FA">
        <w:rPr>
          <w:lang w:val="fr-BE"/>
        </w:rPr>
        <w:t xml:space="preserve"> </w:t>
      </w:r>
      <w:hyperlink r:id="rId5" w:history="1">
        <w:r w:rsidRPr="0039301C">
          <w:rPr>
            <w:rStyle w:val="Hyperlink"/>
            <w:lang w:val="fr-BE"/>
          </w:rPr>
          <w:t>EUR-Lex - 52025DC0148 - EN - EUR-Lex</w:t>
        </w:r>
      </w:hyperlink>
    </w:p>
  </w:footnote>
  <w:footnote w:id="57">
    <w:p w14:paraId="7102658C" w14:textId="5ECACBEF" w:rsidR="00033334" w:rsidRPr="00F02686" w:rsidRDefault="00033334" w:rsidP="00F02686">
      <w:pPr>
        <w:pStyle w:val="FootnoteText"/>
        <w:spacing w:after="0"/>
        <w:rPr>
          <w:lang w:val="en-IE"/>
        </w:rPr>
      </w:pPr>
      <w:r>
        <w:rPr>
          <w:rStyle w:val="FootnoteReference"/>
        </w:rPr>
        <w:footnoteRef/>
      </w:r>
      <w:r>
        <w:t xml:space="preserve"> </w:t>
      </w:r>
      <w:r w:rsidR="00AE57D0" w:rsidRPr="00AE57D0">
        <w:t>Regulation (EU) 2024/1620 of the European Parliament and of the Council of 31 May 2024 establishing the Authority for Anti-Money Laundering and Countering the Financing of Terrorism and amending Regulations (EU) No 1093/2010, (EU) No 1094/2010 and (EU) No 1095/2010</w:t>
      </w:r>
      <w:r w:rsidR="00AE57D0">
        <w:t>.</w:t>
      </w:r>
    </w:p>
  </w:footnote>
  <w:footnote w:id="58">
    <w:p w14:paraId="48640680" w14:textId="7887798D" w:rsidR="00AE57D0" w:rsidRPr="00F02686" w:rsidRDefault="00AE57D0" w:rsidP="00F02686">
      <w:pPr>
        <w:pStyle w:val="FootnoteText"/>
        <w:spacing w:after="0"/>
        <w:rPr>
          <w:lang w:val="en-IE"/>
        </w:rPr>
      </w:pPr>
      <w:r>
        <w:rPr>
          <w:rStyle w:val="FootnoteReference"/>
        </w:rPr>
        <w:footnoteRef/>
      </w:r>
      <w:r>
        <w:t xml:space="preserve"> </w:t>
      </w:r>
      <w:r w:rsidR="00B161A3" w:rsidRPr="00B161A3">
        <w:t>Directive (EU) 2024/1640 of the European Parliament and of the Council of 31 May 2024 on the mechanisms to be put in place by Member States for the prevention of the use of the financial system for the purposes of money laundering or terrorist financing, amending Directive</w:t>
      </w:r>
      <w:r w:rsidR="00110E8F">
        <w:t xml:space="preserve"> </w:t>
      </w:r>
      <w:r w:rsidR="00B161A3" w:rsidRPr="00B161A3">
        <w:t>(EU) 2019/1937, and amending and repealing Directive (EU) 2015/849</w:t>
      </w:r>
      <w:r w:rsidR="00B161A3">
        <w:t>.</w:t>
      </w:r>
    </w:p>
  </w:footnote>
  <w:footnote w:id="59">
    <w:p w14:paraId="4F740423" w14:textId="0B03641E" w:rsidR="00110E8F" w:rsidRPr="00F02686" w:rsidRDefault="00110E8F" w:rsidP="00F02686">
      <w:pPr>
        <w:pStyle w:val="FootnoteText"/>
        <w:spacing w:after="0"/>
        <w:rPr>
          <w:lang w:val="en-IE"/>
        </w:rPr>
      </w:pPr>
      <w:r>
        <w:rPr>
          <w:rStyle w:val="FootnoteReference"/>
        </w:rPr>
        <w:footnoteRef/>
      </w:r>
      <w:r>
        <w:t xml:space="preserve"> </w:t>
      </w:r>
      <w:r w:rsidRPr="00110E8F">
        <w:t>Regulation (EU) 2023/1113 of the European Parliament and of the Council of 31 May 2023 on information accompanying transfers of funds and certain crypto-assets and amending Directive (EU) 2015/849</w:t>
      </w:r>
      <w:r>
        <w:t>.</w:t>
      </w:r>
    </w:p>
  </w:footnote>
  <w:footnote w:id="60">
    <w:p w14:paraId="6CCF7F62" w14:textId="475867D5" w:rsidR="00C06DDC" w:rsidRPr="00A56091" w:rsidRDefault="00C06DDC" w:rsidP="00110E8F">
      <w:pPr>
        <w:pStyle w:val="FootnoteText"/>
        <w:spacing w:after="0"/>
        <w:rPr>
          <w:lang w:val="en-US"/>
        </w:rPr>
      </w:pPr>
      <w:r>
        <w:rPr>
          <w:rStyle w:val="FootnoteReference"/>
        </w:rPr>
        <w:footnoteRef/>
      </w:r>
      <w:r>
        <w:t xml:space="preserve"> Directive (EU) 2017/1371 of the European Parliament and of the Council of 5 July 2017 on the fight against fraud to the Union's financial interests by means of criminal law, OJ L 198, 28.7.2017, pp. 29–41</w:t>
      </w:r>
      <w:r w:rsidR="00A412D2">
        <w:t>.</w:t>
      </w:r>
    </w:p>
  </w:footnote>
  <w:footnote w:id="61">
    <w:p w14:paraId="024E9270" w14:textId="77777777" w:rsidR="008165B0" w:rsidRPr="00143F86" w:rsidRDefault="008165B0" w:rsidP="008165B0">
      <w:pPr>
        <w:pStyle w:val="FootnoteText"/>
        <w:spacing w:after="0"/>
        <w:rPr>
          <w:lang w:val="en-IE"/>
        </w:rPr>
      </w:pPr>
      <w:r>
        <w:rPr>
          <w:rStyle w:val="FootnoteReference"/>
        </w:rPr>
        <w:footnoteRef/>
      </w:r>
      <w:r>
        <w:t xml:space="preserve"> </w:t>
      </w:r>
      <w:r w:rsidRPr="00A05D75">
        <w:t>Directive (EU) 2024/1203 of the European Parliament and of the Council of 11 April 2024 on the protection of the environment through criminal law and replacing Directives 2008/99/EC and 2009/123/EC</w:t>
      </w:r>
      <w:r>
        <w:t>.</w:t>
      </w:r>
    </w:p>
  </w:footnote>
  <w:footnote w:id="62">
    <w:p w14:paraId="1B549274" w14:textId="77777777" w:rsidR="008165B0" w:rsidRPr="007C454C" w:rsidRDefault="008165B0" w:rsidP="008165B0">
      <w:pPr>
        <w:pStyle w:val="FootnoteText"/>
        <w:spacing w:after="0"/>
        <w:rPr>
          <w:lang w:val="en-IE"/>
        </w:rPr>
      </w:pPr>
      <w:r>
        <w:rPr>
          <w:rStyle w:val="FootnoteReference"/>
        </w:rPr>
        <w:footnoteRef/>
      </w:r>
      <w:r>
        <w:t xml:space="preserve"> </w:t>
      </w:r>
      <w:r w:rsidRPr="00EF11A9">
        <w:t>Directive (EU) 2024/1226 of the European Parliament and of the Council of 24 April 2024 on the definition of criminal offences and penalties for the violation of Union restrictive measures and amending Directive (EU) 2018/1673</w:t>
      </w:r>
      <w:r>
        <w:t>.</w:t>
      </w:r>
    </w:p>
  </w:footnote>
  <w:footnote w:id="63">
    <w:p w14:paraId="41883561" w14:textId="77777777" w:rsidR="00814743" w:rsidRPr="009A39FA" w:rsidRDefault="00814743" w:rsidP="00104B38">
      <w:pPr>
        <w:pStyle w:val="FootnoteText"/>
        <w:spacing w:after="0"/>
        <w:rPr>
          <w:lang w:val="en-IE"/>
        </w:rPr>
      </w:pPr>
      <w:r>
        <w:rPr>
          <w:rStyle w:val="FootnoteReference"/>
        </w:rPr>
        <w:footnoteRef/>
      </w:r>
      <w:r w:rsidRPr="009A39FA">
        <w:rPr>
          <w:lang w:val="en-IE"/>
        </w:rPr>
        <w:t xml:space="preserve"> Council conclusions on the future of </w:t>
      </w:r>
      <w:r>
        <w:rPr>
          <w:lang w:val="en-IE"/>
        </w:rPr>
        <w:t xml:space="preserve">criminal law: recommendations on the way forward: </w:t>
      </w:r>
      <w:r w:rsidRPr="009A39FA">
        <w:rPr>
          <w:lang w:val="en-IE"/>
        </w:rPr>
        <w:t>https://data.consilium.europa.eu/doc/document/ST-10984-2024-INIT/en/pdf</w:t>
      </w:r>
    </w:p>
  </w:footnote>
  <w:footnote w:id="64">
    <w:p w14:paraId="6C7F0D98" w14:textId="05777468" w:rsidR="001078FB" w:rsidRPr="001078FB" w:rsidRDefault="001078FB" w:rsidP="00F02686">
      <w:pPr>
        <w:pStyle w:val="FootnoteText"/>
        <w:spacing w:after="0"/>
      </w:pPr>
      <w:r>
        <w:rPr>
          <w:rStyle w:val="FootnoteReference"/>
        </w:rPr>
        <w:footnoteRef/>
      </w:r>
      <w:r w:rsidRPr="001078FB">
        <w:t>Council conclusions on Model provisions on EU substantive criminal law</w:t>
      </w:r>
      <w:r>
        <w:t xml:space="preserve">: </w:t>
      </w:r>
      <w:r w:rsidR="00D95C30" w:rsidRPr="00D95C30">
        <w:t>https://data.consilium.europa.eu/doc/document/ST-16638-2025-INIT/en/pdf</w:t>
      </w:r>
    </w:p>
  </w:footnote>
  <w:footnote w:id="65">
    <w:p w14:paraId="19D73791" w14:textId="7DC15828" w:rsidR="004263D4" w:rsidRPr="0039301C" w:rsidRDefault="004263D4" w:rsidP="00110E8F">
      <w:pPr>
        <w:pStyle w:val="FootnoteText"/>
        <w:spacing w:after="0"/>
        <w:rPr>
          <w:lang w:val="en-US"/>
        </w:rPr>
      </w:pPr>
      <w:r>
        <w:rPr>
          <w:rStyle w:val="FootnoteReference"/>
        </w:rPr>
        <w:footnoteRef/>
      </w:r>
      <w:r>
        <w:t xml:space="preserve"> </w:t>
      </w:r>
      <w:r w:rsidRPr="0039301C">
        <w:rPr>
          <w:lang w:val="en-US"/>
        </w:rPr>
        <w:t xml:space="preserve">For example, </w:t>
      </w:r>
      <w:r w:rsidRPr="00AF6846">
        <w:rPr>
          <w:lang w:val="en-US"/>
        </w:rPr>
        <w:t xml:space="preserve">Directive (EU) 2024/1203 of the European Parliament and of the Council of 11 April 2024 on the protection of the environment through criminal law obliges </w:t>
      </w:r>
      <w:r w:rsidRPr="0039301C">
        <w:rPr>
          <w:lang w:val="en-US"/>
        </w:rPr>
        <w:t xml:space="preserve">Member States to </w:t>
      </w:r>
      <w:r w:rsidR="003C1FFF">
        <w:rPr>
          <w:lang w:val="en-US"/>
        </w:rPr>
        <w:t>make provision for</w:t>
      </w:r>
      <w:r w:rsidR="003C1FFF" w:rsidRPr="0039301C">
        <w:rPr>
          <w:lang w:val="en-US"/>
        </w:rPr>
        <w:t xml:space="preserve"> </w:t>
      </w:r>
      <w:r w:rsidRPr="0039301C">
        <w:rPr>
          <w:lang w:val="en-US"/>
        </w:rPr>
        <w:t xml:space="preserve">fines for legal persons in </w:t>
      </w:r>
      <w:r w:rsidR="00370326">
        <w:rPr>
          <w:lang w:val="en-US"/>
        </w:rPr>
        <w:t xml:space="preserve">the </w:t>
      </w:r>
      <w:r w:rsidRPr="0039301C">
        <w:rPr>
          <w:lang w:val="en-US"/>
        </w:rPr>
        <w:t xml:space="preserve">case of specific offences. The Directive, </w:t>
      </w:r>
      <w:r w:rsidR="00370326">
        <w:rPr>
          <w:lang w:val="en-US"/>
        </w:rPr>
        <w:t>also stipulates</w:t>
      </w:r>
      <w:r w:rsidRPr="00AF6846">
        <w:rPr>
          <w:lang w:val="en-US"/>
        </w:rPr>
        <w:t xml:space="preserve"> that the maximum level of those fines </w:t>
      </w:r>
      <w:r w:rsidR="00370326">
        <w:rPr>
          <w:lang w:val="en-US"/>
        </w:rPr>
        <w:t>should be</w:t>
      </w:r>
      <w:r w:rsidR="00370326" w:rsidRPr="00AF6846">
        <w:rPr>
          <w:lang w:val="en-US"/>
        </w:rPr>
        <w:t xml:space="preserve"> </w:t>
      </w:r>
      <w:r w:rsidRPr="00AF6846">
        <w:rPr>
          <w:lang w:val="en-US"/>
        </w:rPr>
        <w:t xml:space="preserve">at least 5 % or a lump sum of </w:t>
      </w:r>
      <w:r w:rsidR="00B911F4">
        <w:rPr>
          <w:lang w:val="en-US"/>
        </w:rPr>
        <w:t xml:space="preserve">EUR </w:t>
      </w:r>
      <w:r w:rsidR="00B549C6" w:rsidRPr="00A908E5">
        <w:t>40</w:t>
      </w:r>
      <w:r w:rsidR="00B549C6">
        <w:t> </w:t>
      </w:r>
      <w:r w:rsidR="00B549C6" w:rsidRPr="00A908E5">
        <w:t>000</w:t>
      </w:r>
      <w:r w:rsidR="00B549C6">
        <w:t> </w:t>
      </w:r>
      <w:r w:rsidR="00B549C6" w:rsidRPr="00A908E5">
        <w:t>000</w:t>
      </w:r>
      <w:r w:rsidRPr="00AF6846">
        <w:rPr>
          <w:lang w:val="en-US"/>
        </w:rPr>
        <w:t xml:space="preserve">for certain offences related to the pollution of the environment and 3 % or </w:t>
      </w:r>
      <w:r w:rsidR="00F86B46">
        <w:t>EUR </w:t>
      </w:r>
      <w:r w:rsidR="00F86B46" w:rsidRPr="00A908E5">
        <w:t>24</w:t>
      </w:r>
      <w:r w:rsidR="00F86B46">
        <w:t> </w:t>
      </w:r>
      <w:r w:rsidR="00F86B46" w:rsidRPr="00A908E5">
        <w:t>000</w:t>
      </w:r>
      <w:r w:rsidR="00F86B46">
        <w:t> </w:t>
      </w:r>
      <w:r w:rsidR="00F86B46" w:rsidRPr="00A908E5">
        <w:t>000</w:t>
      </w:r>
      <w:r w:rsidRPr="00AF6846">
        <w:rPr>
          <w:lang w:val="en-US"/>
        </w:rPr>
        <w:t xml:space="preserve"> for other offences such as wildlife</w:t>
      </w:r>
      <w:r>
        <w:rPr>
          <w:lang w:val="en-US"/>
        </w:rPr>
        <w:t xml:space="preserve"> trafficking.</w:t>
      </w:r>
    </w:p>
  </w:footnote>
  <w:footnote w:id="66">
    <w:p w14:paraId="661F5BE8" w14:textId="77777777" w:rsidR="00412F5A" w:rsidRPr="00DC0947" w:rsidRDefault="00412F5A" w:rsidP="00412F5A">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 59.</w:t>
      </w:r>
    </w:p>
  </w:footnote>
  <w:footnote w:id="67">
    <w:p w14:paraId="5C15C0E6" w14:textId="77777777" w:rsidR="00412F5A" w:rsidRPr="00813FB9" w:rsidRDefault="00412F5A" w:rsidP="00412F5A">
      <w:pPr>
        <w:pStyle w:val="FootnoteText"/>
        <w:spacing w:after="0"/>
      </w:pPr>
      <w:r>
        <w:rPr>
          <w:rStyle w:val="FootnoteReference"/>
        </w:rPr>
        <w:footnoteRef/>
      </w:r>
      <w:r>
        <w:t xml:space="preserve"> Ibid.</w:t>
      </w:r>
    </w:p>
  </w:footnote>
  <w:footnote w:id="68">
    <w:p w14:paraId="2167905A" w14:textId="77777777" w:rsidR="00412F5A" w:rsidRPr="00456776" w:rsidRDefault="00412F5A" w:rsidP="00412F5A">
      <w:pPr>
        <w:pStyle w:val="FootnoteText"/>
        <w:spacing w:after="0"/>
      </w:pPr>
      <w:r>
        <w:rPr>
          <w:rStyle w:val="FootnoteReference"/>
        </w:rPr>
        <w:footnoteRef/>
      </w:r>
      <w:r>
        <w:t xml:space="preserve"> Ibid.</w:t>
      </w:r>
    </w:p>
  </w:footnote>
  <w:footnote w:id="69">
    <w:p w14:paraId="25B22DFA" w14:textId="77777777" w:rsidR="00412F5A" w:rsidRPr="00EE05D0" w:rsidRDefault="00412F5A" w:rsidP="00174A94">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pages 61-62.</w:t>
      </w:r>
    </w:p>
  </w:footnote>
  <w:footnote w:id="70">
    <w:p w14:paraId="26C17892" w14:textId="18DB98C2" w:rsidR="004907A9" w:rsidRPr="00AF070B" w:rsidRDefault="004907A9" w:rsidP="00732337">
      <w:pPr>
        <w:pStyle w:val="FootnoteText"/>
        <w:spacing w:after="0"/>
        <w:rPr>
          <w:lang w:val="en-IE"/>
        </w:rPr>
      </w:pPr>
      <w:r>
        <w:rPr>
          <w:rStyle w:val="FootnoteReference"/>
        </w:rPr>
        <w:footnoteRef/>
      </w:r>
      <w:r>
        <w:t xml:space="preserve">Judgment of 2.9.2021 Case C-709/19 - </w:t>
      </w:r>
      <w:r w:rsidRPr="007125A9">
        <w:t>https://eur-lex.europa.eu/legal-content/EN/TXT/PDF/?uri=CELEX:62019CJ0790</w:t>
      </w:r>
      <w:r>
        <w:t>.</w:t>
      </w:r>
    </w:p>
  </w:footnote>
  <w:footnote w:id="71">
    <w:p w14:paraId="3F9A88B1" w14:textId="77777777" w:rsidR="00412F5A" w:rsidRPr="00F45E59" w:rsidRDefault="00412F5A" w:rsidP="00561406">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pages 62-63.</w:t>
      </w:r>
    </w:p>
  </w:footnote>
  <w:footnote w:id="72">
    <w:p w14:paraId="267AC2F9" w14:textId="77777777" w:rsidR="00412F5A" w:rsidRPr="00F45E59" w:rsidRDefault="00412F5A" w:rsidP="00412F5A">
      <w:pPr>
        <w:pStyle w:val="FootnoteText"/>
      </w:pPr>
      <w:r>
        <w:rPr>
          <w:rStyle w:val="FootnoteReference"/>
        </w:rPr>
        <w:footnoteRef/>
      </w:r>
      <w:r>
        <w:t xml:space="preserve"> Deloitte (2024). </w:t>
      </w:r>
      <w:r w:rsidRPr="002A7010">
        <w:t>Evaluation of Directive (EU) 2018/1673 on the fight against money laundering by criminal law</w:t>
      </w:r>
      <w:r>
        <w:t>, final report, page 64.</w:t>
      </w:r>
    </w:p>
  </w:footnote>
  <w:footnote w:id="73">
    <w:p w14:paraId="2EC5B185" w14:textId="77777777" w:rsidR="009B50B9" w:rsidRPr="0039301C" w:rsidRDefault="009B50B9" w:rsidP="009B50B9">
      <w:pPr>
        <w:pStyle w:val="FootnoteText"/>
        <w:spacing w:after="0"/>
        <w:rPr>
          <w:lang w:val="en-IE"/>
        </w:rPr>
      </w:pPr>
      <w:r>
        <w:rPr>
          <w:rStyle w:val="FootnoteReference"/>
        </w:rPr>
        <w:footnoteRef/>
      </w:r>
      <w:r>
        <w:t xml:space="preserve"> </w:t>
      </w:r>
      <w:r>
        <w:rPr>
          <w:lang w:val="en-IE"/>
        </w:rPr>
        <w:t>As in self-laundering the distinction between predicate offence and money laundering offence is often not clear-cut, so that there is a risk of a double punishment for the same act if there is a conviction for the predicate offence and the money laundering offence.</w:t>
      </w:r>
    </w:p>
  </w:footnote>
  <w:footnote w:id="74">
    <w:p w14:paraId="0634F4F5" w14:textId="7E3375C8" w:rsidR="00182E5C" w:rsidRPr="00182E5C" w:rsidRDefault="00182E5C" w:rsidP="00182E5C">
      <w:pPr>
        <w:pStyle w:val="FootnoteText"/>
        <w:spacing w:after="0"/>
      </w:pPr>
      <w:r>
        <w:rPr>
          <w:rStyle w:val="FootnoteReference"/>
        </w:rPr>
        <w:footnoteRef/>
      </w:r>
      <w:r>
        <w:t xml:space="preserve"> Deloitte (2024). </w:t>
      </w:r>
      <w:r w:rsidRPr="002A7010">
        <w:t>Evaluation of Directive (EU) 2018/1673 on the fight against money laundering by criminal law</w:t>
      </w:r>
      <w:r>
        <w:t>, final report, pages 69-70.</w:t>
      </w:r>
    </w:p>
  </w:footnote>
  <w:footnote w:id="75">
    <w:p w14:paraId="403FBF1C" w14:textId="77777777" w:rsidR="00C121B9" w:rsidRPr="00F02686" w:rsidRDefault="00C121B9" w:rsidP="00C121B9">
      <w:pPr>
        <w:pStyle w:val="FootnoteText"/>
        <w:spacing w:after="0"/>
        <w:rPr>
          <w:lang w:val="fr-BE"/>
        </w:rPr>
      </w:pPr>
      <w:r>
        <w:rPr>
          <w:rStyle w:val="FootnoteReference"/>
        </w:rPr>
        <w:footnoteRef/>
      </w:r>
      <w:r w:rsidRPr="00F02686">
        <w:rPr>
          <w:lang w:val="fr-BE"/>
        </w:rPr>
        <w:t xml:space="preserve"> </w:t>
      </w:r>
      <w:hyperlink r:id="rId6" w:history="1">
        <w:r w:rsidRPr="00F02686">
          <w:rPr>
            <w:rStyle w:val="Hyperlink"/>
            <w:lang w:val="fr-BE"/>
          </w:rPr>
          <w:t>europol.europa.eu/cms/sites/default/files/documents/EU-SOCTA-2025.pdf</w:t>
        </w:r>
      </w:hyperlink>
    </w:p>
  </w:footnote>
  <w:footnote w:id="76">
    <w:p w14:paraId="38C822AE" w14:textId="77777777" w:rsidR="00A05D75" w:rsidRPr="00143F86" w:rsidRDefault="00A05D75" w:rsidP="00A05D75">
      <w:pPr>
        <w:pStyle w:val="FootnoteText"/>
        <w:spacing w:after="0"/>
        <w:rPr>
          <w:lang w:val="en-IE"/>
        </w:rPr>
      </w:pPr>
      <w:r>
        <w:rPr>
          <w:rStyle w:val="FootnoteReference"/>
        </w:rPr>
        <w:footnoteRef/>
      </w:r>
      <w:r>
        <w:t xml:space="preserve"> </w:t>
      </w:r>
      <w:r w:rsidRPr="00A05D75">
        <w:t>Directive (EU) 2024/1203 of the European Parliament and of the Council of 11 April 2024 on the protection of the environment through criminal law and replacing Directives 2008/99/EC and 2009/123/EC</w:t>
      </w:r>
      <w:r>
        <w:t>.</w:t>
      </w:r>
    </w:p>
  </w:footnote>
  <w:footnote w:id="77">
    <w:p w14:paraId="2C69D824" w14:textId="1E5D81C5" w:rsidR="00A05D75" w:rsidRPr="00F02686" w:rsidRDefault="00A05D75" w:rsidP="00F02686">
      <w:pPr>
        <w:pStyle w:val="FootnoteText"/>
        <w:spacing w:after="0"/>
        <w:rPr>
          <w:lang w:val="en-IE"/>
        </w:rPr>
      </w:pPr>
      <w:r>
        <w:rPr>
          <w:rStyle w:val="FootnoteReference"/>
        </w:rPr>
        <w:footnoteRef/>
      </w:r>
      <w:r>
        <w:t xml:space="preserve"> </w:t>
      </w:r>
      <w:r w:rsidR="00EF11A9" w:rsidRPr="00EF11A9">
        <w:t>Directive (EU) 2024/1226 of the European Parliament and of the Council of 24 April 2024 on the definition of criminal offences and penalties for the violation of Union restrictive measures and amending Directive (EU) 2018/1673</w:t>
      </w:r>
      <w:r w:rsidR="00EF11A9">
        <w:t>.</w:t>
      </w:r>
    </w:p>
  </w:footnote>
  <w:footnote w:id="78">
    <w:p w14:paraId="22E96CA9" w14:textId="77777777" w:rsidR="008E63A4" w:rsidRPr="002F0AB8" w:rsidRDefault="008E63A4" w:rsidP="00EF11A9">
      <w:pPr>
        <w:pStyle w:val="FootnoteText"/>
        <w:spacing w:after="0"/>
        <w:rPr>
          <w:lang w:val="en-IE"/>
        </w:rPr>
      </w:pPr>
      <w:r>
        <w:rPr>
          <w:rStyle w:val="FootnoteReference"/>
        </w:rPr>
        <w:footnoteRef/>
      </w:r>
      <w:r>
        <w:t xml:space="preserve"> </w:t>
      </w:r>
      <w:r w:rsidRPr="00DD5802">
        <w:rPr>
          <w:lang w:val="en-IE"/>
        </w:rPr>
        <w:t xml:space="preserve">Council of Europe Convention on Laundering, Search, Seizure and Confiscation of the Proceeds from Crime and on the Financing of Terrorism (CETS No. 198).     </w:t>
      </w:r>
    </w:p>
  </w:footnote>
  <w:footnote w:id="79">
    <w:p w14:paraId="097E38B3" w14:textId="77777777" w:rsidR="001B57A7" w:rsidRPr="00DE3858" w:rsidRDefault="001B57A7" w:rsidP="001B57A7">
      <w:pPr>
        <w:pStyle w:val="FootnoteText"/>
        <w:spacing w:after="0"/>
        <w:rPr>
          <w:color w:val="000000" w:themeColor="text1"/>
        </w:rPr>
      </w:pPr>
      <w:r w:rsidRPr="00DE3858">
        <w:rPr>
          <w:rStyle w:val="FootnoteReference"/>
          <w:color w:val="000000" w:themeColor="text1"/>
        </w:rPr>
        <w:footnoteRef/>
      </w:r>
      <w:r w:rsidRPr="00DE3858">
        <w:rPr>
          <w:color w:val="000000" w:themeColor="text1"/>
        </w:rPr>
        <w:t xml:space="preserve"> The call for service was issued via framework contract </w:t>
      </w:r>
      <w:r w:rsidRPr="00DA4722">
        <w:rPr>
          <w:color w:val="000000" w:themeColor="text1"/>
        </w:rPr>
        <w:t>HOME/2018/ISFB/PR/EVAL/001</w:t>
      </w:r>
      <w:r>
        <w:rPr>
          <w:color w:val="000000" w:themeColor="text1"/>
        </w:rPr>
        <w:t>7</w:t>
      </w:r>
      <w:r w:rsidRPr="00DE3858">
        <w:rPr>
          <w:color w:val="000000" w:themeColor="text1"/>
        </w:rPr>
        <w:t xml:space="preserve">. </w:t>
      </w:r>
      <w:r w:rsidRPr="00264971">
        <w:rPr>
          <w:color w:val="000000" w:themeColor="text1"/>
        </w:rPr>
        <w:t>One contractor</w:t>
      </w:r>
      <w:r w:rsidRPr="00DE3858">
        <w:rPr>
          <w:color w:val="000000" w:themeColor="text1"/>
        </w:rPr>
        <w:t xml:space="preserve"> submitted a bid to carry out the evaluation. The evaluation committee considered a number of criteria, namely: compliance with the technical specifications described in the Terms of Reference; demonstrated understanding of the objectives and tasks; the quality of the preliminary assessment of difficulties and expected results; the quality of the proposed methodology; and the quality of the project management and team organisation. The Commission awarded the contract to </w:t>
      </w:r>
      <w:r>
        <w:rPr>
          <w:color w:val="000000" w:themeColor="text1"/>
        </w:rPr>
        <w:t>Deloitte</w:t>
      </w:r>
      <w:r w:rsidRPr="00DE3858">
        <w:rPr>
          <w:color w:val="000000" w:themeColor="text1"/>
        </w:rPr>
        <w:t>.</w:t>
      </w:r>
    </w:p>
  </w:footnote>
  <w:footnote w:id="80">
    <w:p w14:paraId="4A51DA88" w14:textId="77777777" w:rsidR="001B57A7" w:rsidRPr="00DE3858" w:rsidRDefault="001B57A7" w:rsidP="001B57A7">
      <w:pPr>
        <w:pStyle w:val="FootnoteText"/>
        <w:spacing w:after="0"/>
        <w:ind w:left="0" w:firstLine="0"/>
        <w:rPr>
          <w:color w:val="000000" w:themeColor="text1"/>
        </w:rPr>
      </w:pPr>
      <w:r w:rsidRPr="00DE3858">
        <w:rPr>
          <w:rStyle w:val="FootnoteReference"/>
          <w:color w:val="000000" w:themeColor="text1"/>
        </w:rPr>
        <w:footnoteRef/>
      </w:r>
      <w:r w:rsidRPr="00DE3858">
        <w:rPr>
          <w:color w:val="000000" w:themeColor="text1"/>
        </w:rPr>
        <w:t xml:space="preserve"> The DGs invited to participate in the steering group included: the Secretariat-General of the Commission (SG); Legal Service (LS); Justice and Consumers (JUST); </w:t>
      </w:r>
      <w:r>
        <w:rPr>
          <w:color w:val="000000" w:themeColor="text1"/>
        </w:rPr>
        <w:t>GROW</w:t>
      </w:r>
      <w:r w:rsidRPr="00DE3858">
        <w:rPr>
          <w:color w:val="000000" w:themeColor="text1"/>
        </w:rPr>
        <w:t>;</w:t>
      </w:r>
      <w:r>
        <w:rPr>
          <w:color w:val="000000" w:themeColor="text1"/>
        </w:rPr>
        <w:t xml:space="preserve"> FISMA; BUDG; OLAF; EEAS; NEAR; TAXUD; ECFIN; FPI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A00AA" w14:textId="77777777" w:rsidR="001F4851" w:rsidRPr="001F4851" w:rsidRDefault="001F4851" w:rsidP="001F48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BB058" w14:textId="77777777" w:rsidR="001F4851" w:rsidRPr="001F4851" w:rsidRDefault="001F4851" w:rsidP="001F48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9007" w14:textId="77777777" w:rsidR="001F4851" w:rsidRPr="001F4851" w:rsidRDefault="001F4851" w:rsidP="001F48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1389" w14:textId="77777777" w:rsidR="00CD412A" w:rsidRDefault="00CD41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3A37" w14:textId="77777777" w:rsidR="00CD412A" w:rsidRDefault="00CD41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4354" w14:textId="77777777" w:rsidR="00CD412A" w:rsidRDefault="00CD41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27864" w14:textId="77777777" w:rsidR="00CD412A" w:rsidRDefault="00CD41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7F918" w14:textId="77777777" w:rsidR="00CD412A" w:rsidRDefault="00CD41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ADEF" w14:textId="77777777" w:rsidR="00CD412A" w:rsidRDefault="00CD41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465F" w14:textId="77777777" w:rsidR="00CD412A" w:rsidRDefault="00CD41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36DD3" w14:textId="77777777" w:rsidR="00CD412A" w:rsidRDefault="00CD412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985E" w14:textId="77777777" w:rsidR="00CD412A" w:rsidRDefault="00CD4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64EF"/>
    <w:multiLevelType w:val="hybridMultilevel"/>
    <w:tmpl w:val="609805E6"/>
    <w:lvl w:ilvl="0" w:tplc="08130001">
      <w:start w:val="1"/>
      <w:numFmt w:val="bullet"/>
      <w:lvlText w:val=""/>
      <w:lvlJc w:val="left"/>
      <w:pPr>
        <w:ind w:left="360" w:hanging="360"/>
      </w:pPr>
      <w:rPr>
        <w:rFonts w:ascii="Symbol" w:hAnsi="Symbol" w:hint="default"/>
        <w:color w:val="auto"/>
      </w:rPr>
    </w:lvl>
    <w:lvl w:ilvl="1" w:tplc="FFFFFFFF">
      <w:start w:val="1"/>
      <w:numFmt w:val="bullet"/>
      <w:lvlText w:val=""/>
      <w:lvlJc w:val="left"/>
      <w:pPr>
        <w:ind w:left="1080" w:hanging="360"/>
      </w:pPr>
      <w:rPr>
        <w:rFonts w:ascii="SimSun" w:hAnsi="SimSun" w:hint="default"/>
        <w:color w:val="9BBB59" w:themeColor="accent3"/>
      </w:rPr>
    </w:lvl>
    <w:lvl w:ilvl="2" w:tplc="FFFFFFFF">
      <w:start w:val="1"/>
      <w:numFmt w:val="bullet"/>
      <w:lvlText w:val=""/>
      <w:lvlJc w:val="left"/>
      <w:pPr>
        <w:ind w:left="1800" w:hanging="360"/>
      </w:pPr>
      <w:rPr>
        <w:rFonts w:ascii="Mangal" w:hAnsi="Mangal" w:hint="default"/>
      </w:rPr>
    </w:lvl>
    <w:lvl w:ilvl="3" w:tplc="FFFFFFFF" w:tentative="1">
      <w:start w:val="1"/>
      <w:numFmt w:val="bullet"/>
      <w:lvlText w:val=""/>
      <w:lvlJc w:val="left"/>
      <w:pPr>
        <w:ind w:left="2520" w:hanging="360"/>
      </w:pPr>
      <w:rPr>
        <w:rFonts w:ascii="SimSun" w:hAnsi="SimSun" w:hint="default"/>
      </w:rPr>
    </w:lvl>
    <w:lvl w:ilvl="4" w:tplc="FFFFFFFF" w:tentative="1">
      <w:start w:val="1"/>
      <w:numFmt w:val="bullet"/>
      <w:lvlText w:val="o"/>
      <w:lvlJc w:val="left"/>
      <w:pPr>
        <w:ind w:left="3240" w:hanging="360"/>
      </w:pPr>
      <w:rPr>
        <w:rFonts w:ascii="Microsoft Sans Serif" w:hAnsi="Microsoft Sans Serif" w:cs="Microsoft Sans Serif" w:hint="default"/>
      </w:rPr>
    </w:lvl>
    <w:lvl w:ilvl="5" w:tplc="FFFFFFFF" w:tentative="1">
      <w:start w:val="1"/>
      <w:numFmt w:val="bullet"/>
      <w:lvlText w:val=""/>
      <w:lvlJc w:val="left"/>
      <w:pPr>
        <w:ind w:left="3960" w:hanging="360"/>
      </w:pPr>
      <w:rPr>
        <w:rFonts w:ascii="Mangal" w:hAnsi="Mangal" w:hint="default"/>
      </w:rPr>
    </w:lvl>
    <w:lvl w:ilvl="6" w:tplc="FFFFFFFF" w:tentative="1">
      <w:start w:val="1"/>
      <w:numFmt w:val="bullet"/>
      <w:lvlText w:val=""/>
      <w:lvlJc w:val="left"/>
      <w:pPr>
        <w:ind w:left="4680" w:hanging="360"/>
      </w:pPr>
      <w:rPr>
        <w:rFonts w:ascii="SimSun" w:hAnsi="SimSun" w:hint="default"/>
      </w:rPr>
    </w:lvl>
    <w:lvl w:ilvl="7" w:tplc="FFFFFFFF" w:tentative="1">
      <w:start w:val="1"/>
      <w:numFmt w:val="bullet"/>
      <w:lvlText w:val="o"/>
      <w:lvlJc w:val="left"/>
      <w:pPr>
        <w:ind w:left="5400" w:hanging="360"/>
      </w:pPr>
      <w:rPr>
        <w:rFonts w:ascii="Microsoft Sans Serif" w:hAnsi="Microsoft Sans Serif" w:cs="Microsoft Sans Serif" w:hint="default"/>
      </w:rPr>
    </w:lvl>
    <w:lvl w:ilvl="8" w:tplc="FFFFFFFF" w:tentative="1">
      <w:start w:val="1"/>
      <w:numFmt w:val="bullet"/>
      <w:lvlText w:val=""/>
      <w:lvlJc w:val="left"/>
      <w:pPr>
        <w:ind w:left="6120" w:hanging="360"/>
      </w:pPr>
      <w:rPr>
        <w:rFonts w:ascii="Mangal" w:hAnsi="Mangal" w:hint="default"/>
      </w:rPr>
    </w:lvl>
  </w:abstractNum>
  <w:abstractNum w:abstractNumId="1" w15:restartNumberingAfterBreak="0">
    <w:nsid w:val="026C133A"/>
    <w:multiLevelType w:val="hybridMultilevel"/>
    <w:tmpl w:val="BF686A48"/>
    <w:lvl w:ilvl="0" w:tplc="7E78446A">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F31E7F"/>
    <w:multiLevelType w:val="multilevel"/>
    <w:tmpl w:val="36C8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F46F55"/>
    <w:multiLevelType w:val="hybridMultilevel"/>
    <w:tmpl w:val="25A8E5AA"/>
    <w:lvl w:ilvl="0" w:tplc="18090011">
      <w:start w:val="6"/>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556875"/>
    <w:multiLevelType w:val="hybridMultilevel"/>
    <w:tmpl w:val="2EAABB0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96755AB"/>
    <w:multiLevelType w:val="hybridMultilevel"/>
    <w:tmpl w:val="730AADA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0AAE602B"/>
    <w:multiLevelType w:val="hybridMultilevel"/>
    <w:tmpl w:val="BEB0F714"/>
    <w:lvl w:ilvl="0" w:tplc="7A36DA12">
      <w:start w:val="1"/>
      <w:numFmt w:val="bullet"/>
      <w:lvlText w:val=""/>
      <w:lvlJc w:val="left"/>
      <w:pPr>
        <w:ind w:left="360" w:hanging="360"/>
      </w:pPr>
      <w:rPr>
        <w:rFonts w:ascii="Symbol" w:hAnsi="Symbol" w:hint="default"/>
        <w:color w:val="auto"/>
      </w:rPr>
    </w:lvl>
    <w:lvl w:ilvl="1" w:tplc="08130003">
      <w:start w:val="1"/>
      <w:numFmt w:val="bullet"/>
      <w:lvlText w:val="o"/>
      <w:lvlJc w:val="left"/>
      <w:pPr>
        <w:ind w:left="-621" w:hanging="360"/>
      </w:pPr>
      <w:rPr>
        <w:rFonts w:ascii="Microsoft Sans Serif" w:hAnsi="Microsoft Sans Serif" w:cs="Microsoft Sans Serif" w:hint="default"/>
      </w:rPr>
    </w:lvl>
    <w:lvl w:ilvl="2" w:tplc="08130005" w:tentative="1">
      <w:start w:val="1"/>
      <w:numFmt w:val="bullet"/>
      <w:lvlText w:val=""/>
      <w:lvlJc w:val="left"/>
      <w:pPr>
        <w:ind w:left="99" w:hanging="360"/>
      </w:pPr>
      <w:rPr>
        <w:rFonts w:ascii="Mangal" w:hAnsi="Mangal" w:hint="default"/>
      </w:rPr>
    </w:lvl>
    <w:lvl w:ilvl="3" w:tplc="08130001" w:tentative="1">
      <w:start w:val="1"/>
      <w:numFmt w:val="bullet"/>
      <w:lvlText w:val=""/>
      <w:lvlJc w:val="left"/>
      <w:pPr>
        <w:ind w:left="819" w:hanging="360"/>
      </w:pPr>
      <w:rPr>
        <w:rFonts w:ascii="SimSun" w:hAnsi="SimSun" w:hint="default"/>
      </w:rPr>
    </w:lvl>
    <w:lvl w:ilvl="4" w:tplc="08130003" w:tentative="1">
      <w:start w:val="1"/>
      <w:numFmt w:val="bullet"/>
      <w:lvlText w:val="o"/>
      <w:lvlJc w:val="left"/>
      <w:pPr>
        <w:ind w:left="1539" w:hanging="360"/>
      </w:pPr>
      <w:rPr>
        <w:rFonts w:ascii="Microsoft Sans Serif" w:hAnsi="Microsoft Sans Serif" w:cs="Microsoft Sans Serif" w:hint="default"/>
      </w:rPr>
    </w:lvl>
    <w:lvl w:ilvl="5" w:tplc="08130005" w:tentative="1">
      <w:start w:val="1"/>
      <w:numFmt w:val="bullet"/>
      <w:lvlText w:val=""/>
      <w:lvlJc w:val="left"/>
      <w:pPr>
        <w:ind w:left="2259" w:hanging="360"/>
      </w:pPr>
      <w:rPr>
        <w:rFonts w:ascii="Mangal" w:hAnsi="Mangal" w:hint="default"/>
      </w:rPr>
    </w:lvl>
    <w:lvl w:ilvl="6" w:tplc="08130001" w:tentative="1">
      <w:start w:val="1"/>
      <w:numFmt w:val="bullet"/>
      <w:lvlText w:val=""/>
      <w:lvlJc w:val="left"/>
      <w:pPr>
        <w:ind w:left="2979" w:hanging="360"/>
      </w:pPr>
      <w:rPr>
        <w:rFonts w:ascii="SimSun" w:hAnsi="SimSun" w:hint="default"/>
      </w:rPr>
    </w:lvl>
    <w:lvl w:ilvl="7" w:tplc="08130003" w:tentative="1">
      <w:start w:val="1"/>
      <w:numFmt w:val="bullet"/>
      <w:lvlText w:val="o"/>
      <w:lvlJc w:val="left"/>
      <w:pPr>
        <w:ind w:left="3699" w:hanging="360"/>
      </w:pPr>
      <w:rPr>
        <w:rFonts w:ascii="Microsoft Sans Serif" w:hAnsi="Microsoft Sans Serif" w:cs="Microsoft Sans Serif" w:hint="default"/>
      </w:rPr>
    </w:lvl>
    <w:lvl w:ilvl="8" w:tplc="08130005" w:tentative="1">
      <w:start w:val="1"/>
      <w:numFmt w:val="bullet"/>
      <w:lvlText w:val=""/>
      <w:lvlJc w:val="left"/>
      <w:pPr>
        <w:ind w:left="4419" w:hanging="360"/>
      </w:pPr>
      <w:rPr>
        <w:rFonts w:ascii="Mangal" w:hAnsi="Mangal" w:hint="default"/>
      </w:rPr>
    </w:lvl>
  </w:abstractNum>
  <w:abstractNum w:abstractNumId="7" w15:restartNumberingAfterBreak="0">
    <w:nsid w:val="0D814851"/>
    <w:multiLevelType w:val="hybridMultilevel"/>
    <w:tmpl w:val="3F32DBA8"/>
    <w:lvl w:ilvl="0" w:tplc="1E20059C">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AC6A21"/>
    <w:multiLevelType w:val="multilevel"/>
    <w:tmpl w:val="92A8AA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3"/>
      <w:numFmt w:val="decimal"/>
      <w:lvlText w:val="%4)"/>
      <w:lvlJc w:val="left"/>
      <w:pPr>
        <w:ind w:left="2880" w:hanging="360"/>
      </w:pPr>
      <w:rPr>
        <w:rFonts w:hint="default"/>
      </w:rPr>
    </w:lvl>
    <w:lvl w:ilvl="4">
      <w:start w:val="4"/>
      <w:numFmt w:val="bullet"/>
      <w:lvlText w:val="-"/>
      <w:lvlJc w:val="left"/>
      <w:pPr>
        <w:ind w:left="3600" w:hanging="360"/>
      </w:pPr>
      <w:rPr>
        <w:rFonts w:ascii="Times New Roman" w:eastAsiaTheme="minorHAnsi" w:hAnsi="Times New Roman" w:cs="Times New Roman"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3D13C6"/>
    <w:multiLevelType w:val="hybridMultilevel"/>
    <w:tmpl w:val="0C8CB180"/>
    <w:lvl w:ilvl="0" w:tplc="7E78446A">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86760F"/>
    <w:multiLevelType w:val="hybridMultilevel"/>
    <w:tmpl w:val="0DD2A23A"/>
    <w:lvl w:ilvl="0" w:tplc="1C16BF1E">
      <w:start w:val="1"/>
      <w:numFmt w:val="bullet"/>
      <w:lvlText w:val=""/>
      <w:lvlJc w:val="left"/>
      <w:pPr>
        <w:ind w:left="720" w:hanging="360"/>
      </w:pPr>
      <w:rPr>
        <w:rFonts w:ascii="Symbol" w:hAnsi="Symbol" w:hint="default"/>
        <w:color w:val="auto"/>
      </w:rPr>
    </w:lvl>
    <w:lvl w:ilvl="1" w:tplc="1D2C8A9C">
      <w:start w:val="1"/>
      <w:numFmt w:val="bullet"/>
      <w:lvlText w:val=""/>
      <w:lvlJc w:val="left"/>
      <w:pPr>
        <w:ind w:left="1440" w:hanging="360"/>
      </w:pPr>
      <w:rPr>
        <w:rFonts w:ascii="SimSun" w:hAnsi="SimSun" w:hint="default"/>
        <w:color w:val="9BBB59" w:themeColor="accent3"/>
      </w:rPr>
    </w:lvl>
    <w:lvl w:ilvl="2" w:tplc="08090005">
      <w:start w:val="1"/>
      <w:numFmt w:val="bullet"/>
      <w:lvlText w:val=""/>
      <w:lvlJc w:val="left"/>
      <w:pPr>
        <w:ind w:left="2160" w:hanging="360"/>
      </w:pPr>
      <w:rPr>
        <w:rFonts w:ascii="Mangal" w:hAnsi="Mangal" w:hint="default"/>
      </w:rPr>
    </w:lvl>
    <w:lvl w:ilvl="3" w:tplc="08090001" w:tentative="1">
      <w:start w:val="1"/>
      <w:numFmt w:val="bullet"/>
      <w:lvlText w:val=""/>
      <w:lvlJc w:val="left"/>
      <w:pPr>
        <w:ind w:left="2880" w:hanging="360"/>
      </w:pPr>
      <w:rPr>
        <w:rFonts w:ascii="SimSun" w:hAnsi="SimSun" w:hint="default"/>
      </w:rPr>
    </w:lvl>
    <w:lvl w:ilvl="4" w:tplc="08090003" w:tentative="1">
      <w:start w:val="1"/>
      <w:numFmt w:val="bullet"/>
      <w:lvlText w:val="o"/>
      <w:lvlJc w:val="left"/>
      <w:pPr>
        <w:ind w:left="3600" w:hanging="360"/>
      </w:pPr>
      <w:rPr>
        <w:rFonts w:ascii="Microsoft Sans Serif" w:hAnsi="Microsoft Sans Serif" w:cs="Microsoft Sans Serif" w:hint="default"/>
      </w:rPr>
    </w:lvl>
    <w:lvl w:ilvl="5" w:tplc="08090005" w:tentative="1">
      <w:start w:val="1"/>
      <w:numFmt w:val="bullet"/>
      <w:lvlText w:val=""/>
      <w:lvlJc w:val="left"/>
      <w:pPr>
        <w:ind w:left="4320" w:hanging="360"/>
      </w:pPr>
      <w:rPr>
        <w:rFonts w:ascii="Mangal" w:hAnsi="Mangal" w:hint="default"/>
      </w:rPr>
    </w:lvl>
    <w:lvl w:ilvl="6" w:tplc="08090001" w:tentative="1">
      <w:start w:val="1"/>
      <w:numFmt w:val="bullet"/>
      <w:lvlText w:val=""/>
      <w:lvlJc w:val="left"/>
      <w:pPr>
        <w:ind w:left="5040" w:hanging="360"/>
      </w:pPr>
      <w:rPr>
        <w:rFonts w:ascii="SimSun" w:hAnsi="SimSun" w:hint="default"/>
      </w:rPr>
    </w:lvl>
    <w:lvl w:ilvl="7" w:tplc="08090003" w:tentative="1">
      <w:start w:val="1"/>
      <w:numFmt w:val="bullet"/>
      <w:lvlText w:val="o"/>
      <w:lvlJc w:val="left"/>
      <w:pPr>
        <w:ind w:left="5760" w:hanging="360"/>
      </w:pPr>
      <w:rPr>
        <w:rFonts w:ascii="Microsoft Sans Serif" w:hAnsi="Microsoft Sans Serif" w:cs="Microsoft Sans Serif" w:hint="default"/>
      </w:rPr>
    </w:lvl>
    <w:lvl w:ilvl="8" w:tplc="08090005" w:tentative="1">
      <w:start w:val="1"/>
      <w:numFmt w:val="bullet"/>
      <w:lvlText w:val=""/>
      <w:lvlJc w:val="left"/>
      <w:pPr>
        <w:ind w:left="6480" w:hanging="360"/>
      </w:pPr>
      <w:rPr>
        <w:rFonts w:ascii="Mangal" w:hAnsi="Mangal" w:hint="default"/>
      </w:rPr>
    </w:lvl>
  </w:abstractNum>
  <w:abstractNum w:abstractNumId="11" w15:restartNumberingAfterBreak="0">
    <w:nsid w:val="1C8F5245"/>
    <w:multiLevelType w:val="multilevel"/>
    <w:tmpl w:val="D7940BA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0C4845"/>
    <w:multiLevelType w:val="multilevel"/>
    <w:tmpl w:val="C0DE788A"/>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rPr>
        <w:color w:val="000000" w:themeColor="text1"/>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F734306"/>
    <w:multiLevelType w:val="multilevel"/>
    <w:tmpl w:val="C0DE788A"/>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rPr>
        <w:color w:val="000000" w:themeColor="text1"/>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3BD5379"/>
    <w:multiLevelType w:val="hybridMultilevel"/>
    <w:tmpl w:val="21EEE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3DA2C6D"/>
    <w:multiLevelType w:val="hybridMultilevel"/>
    <w:tmpl w:val="5E0C4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1B1FF5"/>
    <w:multiLevelType w:val="hybridMultilevel"/>
    <w:tmpl w:val="3BFA4C8E"/>
    <w:lvl w:ilvl="0" w:tplc="879AA4B0">
      <w:start w:val="1"/>
      <w:numFmt w:val="bullet"/>
      <w:lvlText w:val="­"/>
      <w:lvlJc w:val="left"/>
      <w:pPr>
        <w:ind w:left="1040" w:hanging="360"/>
      </w:pPr>
      <w:rPr>
        <w:rFonts w:ascii="Courier New" w:hAnsi="Courier New" w:hint="default"/>
      </w:rPr>
    </w:lvl>
    <w:lvl w:ilvl="1" w:tplc="18090003">
      <w:start w:val="1"/>
      <w:numFmt w:val="bullet"/>
      <w:lvlText w:val="o"/>
      <w:lvlJc w:val="left"/>
      <w:pPr>
        <w:ind w:left="1760" w:hanging="360"/>
      </w:pPr>
      <w:rPr>
        <w:rFonts w:ascii="Courier New" w:hAnsi="Courier New" w:cs="Courier New" w:hint="default"/>
      </w:rPr>
    </w:lvl>
    <w:lvl w:ilvl="2" w:tplc="18090005" w:tentative="1">
      <w:start w:val="1"/>
      <w:numFmt w:val="bullet"/>
      <w:lvlText w:val=""/>
      <w:lvlJc w:val="left"/>
      <w:pPr>
        <w:ind w:left="2480" w:hanging="360"/>
      </w:pPr>
      <w:rPr>
        <w:rFonts w:ascii="Wingdings" w:hAnsi="Wingdings" w:hint="default"/>
      </w:rPr>
    </w:lvl>
    <w:lvl w:ilvl="3" w:tplc="18090001" w:tentative="1">
      <w:start w:val="1"/>
      <w:numFmt w:val="bullet"/>
      <w:lvlText w:val=""/>
      <w:lvlJc w:val="left"/>
      <w:pPr>
        <w:ind w:left="3200" w:hanging="360"/>
      </w:pPr>
      <w:rPr>
        <w:rFonts w:ascii="Symbol" w:hAnsi="Symbol" w:hint="default"/>
      </w:rPr>
    </w:lvl>
    <w:lvl w:ilvl="4" w:tplc="18090003" w:tentative="1">
      <w:start w:val="1"/>
      <w:numFmt w:val="bullet"/>
      <w:lvlText w:val="o"/>
      <w:lvlJc w:val="left"/>
      <w:pPr>
        <w:ind w:left="3920" w:hanging="360"/>
      </w:pPr>
      <w:rPr>
        <w:rFonts w:ascii="Courier New" w:hAnsi="Courier New" w:cs="Courier New" w:hint="default"/>
      </w:rPr>
    </w:lvl>
    <w:lvl w:ilvl="5" w:tplc="18090005" w:tentative="1">
      <w:start w:val="1"/>
      <w:numFmt w:val="bullet"/>
      <w:lvlText w:val=""/>
      <w:lvlJc w:val="left"/>
      <w:pPr>
        <w:ind w:left="4640" w:hanging="360"/>
      </w:pPr>
      <w:rPr>
        <w:rFonts w:ascii="Wingdings" w:hAnsi="Wingdings" w:hint="default"/>
      </w:rPr>
    </w:lvl>
    <w:lvl w:ilvl="6" w:tplc="18090001" w:tentative="1">
      <w:start w:val="1"/>
      <w:numFmt w:val="bullet"/>
      <w:lvlText w:val=""/>
      <w:lvlJc w:val="left"/>
      <w:pPr>
        <w:ind w:left="5360" w:hanging="360"/>
      </w:pPr>
      <w:rPr>
        <w:rFonts w:ascii="Symbol" w:hAnsi="Symbol" w:hint="default"/>
      </w:rPr>
    </w:lvl>
    <w:lvl w:ilvl="7" w:tplc="18090003" w:tentative="1">
      <w:start w:val="1"/>
      <w:numFmt w:val="bullet"/>
      <w:lvlText w:val="o"/>
      <w:lvlJc w:val="left"/>
      <w:pPr>
        <w:ind w:left="6080" w:hanging="360"/>
      </w:pPr>
      <w:rPr>
        <w:rFonts w:ascii="Courier New" w:hAnsi="Courier New" w:cs="Courier New" w:hint="default"/>
      </w:rPr>
    </w:lvl>
    <w:lvl w:ilvl="8" w:tplc="18090005" w:tentative="1">
      <w:start w:val="1"/>
      <w:numFmt w:val="bullet"/>
      <w:lvlText w:val=""/>
      <w:lvlJc w:val="left"/>
      <w:pPr>
        <w:ind w:left="6800" w:hanging="360"/>
      </w:pPr>
      <w:rPr>
        <w:rFonts w:ascii="Wingdings" w:hAnsi="Wingdings" w:hint="default"/>
      </w:rPr>
    </w:lvl>
  </w:abstractNum>
  <w:abstractNum w:abstractNumId="17" w15:restartNumberingAfterBreak="0">
    <w:nsid w:val="2EA40595"/>
    <w:multiLevelType w:val="hybridMultilevel"/>
    <w:tmpl w:val="6A5CC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1153FEC"/>
    <w:multiLevelType w:val="hybridMultilevel"/>
    <w:tmpl w:val="22FC72DE"/>
    <w:lvl w:ilvl="0" w:tplc="2C76F4E0">
      <w:start w:val="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3C2CD0"/>
    <w:multiLevelType w:val="hybridMultilevel"/>
    <w:tmpl w:val="C1267C1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3CC63874"/>
    <w:multiLevelType w:val="hybridMultilevel"/>
    <w:tmpl w:val="100E3A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F00E18"/>
    <w:multiLevelType w:val="singleLevel"/>
    <w:tmpl w:val="4E1A982C"/>
    <w:lvl w:ilvl="0">
      <w:start w:val="1"/>
      <w:numFmt w:val="bullet"/>
      <w:lvlText w:val=""/>
      <w:lvlJc w:val="left"/>
      <w:pPr>
        <w:ind w:left="720" w:hanging="360"/>
      </w:pPr>
      <w:rPr>
        <w:rFonts w:ascii="Symbol" w:hAnsi="Symbol"/>
      </w:rPr>
    </w:lvl>
  </w:abstractNum>
  <w:abstractNum w:abstractNumId="22"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15:restartNumberingAfterBreak="0">
    <w:nsid w:val="3F723B4D"/>
    <w:multiLevelType w:val="hybridMultilevel"/>
    <w:tmpl w:val="53C89626"/>
    <w:lvl w:ilvl="0" w:tplc="7E78446A">
      <w:start w:val="1"/>
      <w:numFmt w:val="bullet"/>
      <w:lvlText w:val=""/>
      <w:lvlJc w:val="left"/>
      <w:pPr>
        <w:ind w:left="720" w:hanging="360"/>
      </w:pPr>
      <w:rPr>
        <w:rFonts w:ascii="Symbol" w:hAnsi="Symbol" w:hint="default"/>
        <w:color w:val="00B0F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FB250BF"/>
    <w:multiLevelType w:val="hybridMultilevel"/>
    <w:tmpl w:val="FD4E36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9A0608"/>
    <w:multiLevelType w:val="hybridMultilevel"/>
    <w:tmpl w:val="2E8895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37D55AD"/>
    <w:multiLevelType w:val="hybridMultilevel"/>
    <w:tmpl w:val="301C2E2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439618AF"/>
    <w:multiLevelType w:val="hybridMultilevel"/>
    <w:tmpl w:val="41BAE8AE"/>
    <w:lvl w:ilvl="0" w:tplc="2C76F4E0">
      <w:start w:val="5"/>
      <w:numFmt w:val="bullet"/>
      <w:lvlText w:val="-"/>
      <w:lvlJc w:val="left"/>
      <w:pPr>
        <w:ind w:left="785" w:hanging="360"/>
      </w:pPr>
      <w:rPr>
        <w:rFonts w:ascii="Times New Roman" w:eastAsia="Calibri" w:hAnsi="Times New Roman" w:cs="Times New Roman" w:hint="default"/>
      </w:rPr>
    </w:lvl>
    <w:lvl w:ilvl="1" w:tplc="1E20059C">
      <w:numFmt w:val="bullet"/>
      <w:lvlText w:val="•"/>
      <w:lvlJc w:val="left"/>
      <w:pPr>
        <w:ind w:left="1865" w:hanging="720"/>
      </w:pPr>
      <w:rPr>
        <w:rFonts w:ascii="Times New Roman" w:eastAsia="Calibri" w:hAnsi="Times New Roman" w:cs="Times New Roman" w:hint="default"/>
      </w:rPr>
    </w:lvl>
    <w:lvl w:ilvl="2" w:tplc="18090005" w:tentative="1">
      <w:start w:val="1"/>
      <w:numFmt w:val="bullet"/>
      <w:lvlText w:val=""/>
      <w:lvlJc w:val="left"/>
      <w:pPr>
        <w:ind w:left="2225" w:hanging="360"/>
      </w:pPr>
      <w:rPr>
        <w:rFonts w:ascii="Wingdings" w:hAnsi="Wingdings" w:hint="default"/>
      </w:rPr>
    </w:lvl>
    <w:lvl w:ilvl="3" w:tplc="18090001" w:tentative="1">
      <w:start w:val="1"/>
      <w:numFmt w:val="bullet"/>
      <w:lvlText w:val=""/>
      <w:lvlJc w:val="left"/>
      <w:pPr>
        <w:ind w:left="2945" w:hanging="360"/>
      </w:pPr>
      <w:rPr>
        <w:rFonts w:ascii="Symbol" w:hAnsi="Symbol" w:hint="default"/>
      </w:rPr>
    </w:lvl>
    <w:lvl w:ilvl="4" w:tplc="18090003" w:tentative="1">
      <w:start w:val="1"/>
      <w:numFmt w:val="bullet"/>
      <w:lvlText w:val="o"/>
      <w:lvlJc w:val="left"/>
      <w:pPr>
        <w:ind w:left="3665" w:hanging="360"/>
      </w:pPr>
      <w:rPr>
        <w:rFonts w:ascii="Courier New" w:hAnsi="Courier New" w:cs="Courier New" w:hint="default"/>
      </w:rPr>
    </w:lvl>
    <w:lvl w:ilvl="5" w:tplc="18090005" w:tentative="1">
      <w:start w:val="1"/>
      <w:numFmt w:val="bullet"/>
      <w:lvlText w:val=""/>
      <w:lvlJc w:val="left"/>
      <w:pPr>
        <w:ind w:left="4385" w:hanging="360"/>
      </w:pPr>
      <w:rPr>
        <w:rFonts w:ascii="Wingdings" w:hAnsi="Wingdings" w:hint="default"/>
      </w:rPr>
    </w:lvl>
    <w:lvl w:ilvl="6" w:tplc="18090001" w:tentative="1">
      <w:start w:val="1"/>
      <w:numFmt w:val="bullet"/>
      <w:lvlText w:val=""/>
      <w:lvlJc w:val="left"/>
      <w:pPr>
        <w:ind w:left="5105" w:hanging="360"/>
      </w:pPr>
      <w:rPr>
        <w:rFonts w:ascii="Symbol" w:hAnsi="Symbol" w:hint="default"/>
      </w:rPr>
    </w:lvl>
    <w:lvl w:ilvl="7" w:tplc="18090003" w:tentative="1">
      <w:start w:val="1"/>
      <w:numFmt w:val="bullet"/>
      <w:lvlText w:val="o"/>
      <w:lvlJc w:val="left"/>
      <w:pPr>
        <w:ind w:left="5825" w:hanging="360"/>
      </w:pPr>
      <w:rPr>
        <w:rFonts w:ascii="Courier New" w:hAnsi="Courier New" w:cs="Courier New" w:hint="default"/>
      </w:rPr>
    </w:lvl>
    <w:lvl w:ilvl="8" w:tplc="18090005" w:tentative="1">
      <w:start w:val="1"/>
      <w:numFmt w:val="bullet"/>
      <w:lvlText w:val=""/>
      <w:lvlJc w:val="left"/>
      <w:pPr>
        <w:ind w:left="6545" w:hanging="360"/>
      </w:pPr>
      <w:rPr>
        <w:rFonts w:ascii="Wingdings" w:hAnsi="Wingdings" w:hint="default"/>
      </w:rPr>
    </w:lvl>
  </w:abstractNum>
  <w:abstractNum w:abstractNumId="28" w15:restartNumberingAfterBreak="0">
    <w:nsid w:val="43E97223"/>
    <w:multiLevelType w:val="hybridMultilevel"/>
    <w:tmpl w:val="F724B536"/>
    <w:lvl w:ilvl="0" w:tplc="1E20059C">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64C1F0E"/>
    <w:multiLevelType w:val="hybridMultilevel"/>
    <w:tmpl w:val="228A6D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BE54CE8"/>
    <w:multiLevelType w:val="multilevel"/>
    <w:tmpl w:val="670ED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F94600"/>
    <w:multiLevelType w:val="hybridMultilevel"/>
    <w:tmpl w:val="881295FE"/>
    <w:lvl w:ilvl="0" w:tplc="4702724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D417C9C"/>
    <w:multiLevelType w:val="hybridMultilevel"/>
    <w:tmpl w:val="9E744F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4DD76EDB"/>
    <w:multiLevelType w:val="hybridMultilevel"/>
    <w:tmpl w:val="1B500E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E706A43"/>
    <w:multiLevelType w:val="hybridMultilevel"/>
    <w:tmpl w:val="95902B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FBC1A6A"/>
    <w:multiLevelType w:val="hybridMultilevel"/>
    <w:tmpl w:val="04384E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5B6693D"/>
    <w:multiLevelType w:val="hybridMultilevel"/>
    <w:tmpl w:val="DAFC9B82"/>
    <w:lvl w:ilvl="0" w:tplc="2C76F4E0">
      <w:start w:val="5"/>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8F91026"/>
    <w:multiLevelType w:val="hybridMultilevel"/>
    <w:tmpl w:val="5EFA3A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A205678"/>
    <w:multiLevelType w:val="multilevel"/>
    <w:tmpl w:val="C0DE788A"/>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rPr>
        <w:color w:val="000000" w:themeColor="text1"/>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5C323EE0"/>
    <w:multiLevelType w:val="multilevel"/>
    <w:tmpl w:val="D5D27B26"/>
    <w:lvl w:ilvl="0">
      <w:start w:val="1"/>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40" w15:restartNumberingAfterBreak="0">
    <w:nsid w:val="5CD94012"/>
    <w:multiLevelType w:val="hybridMultilevel"/>
    <w:tmpl w:val="F6F26A9A"/>
    <w:lvl w:ilvl="0" w:tplc="1E20059C">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CEA4FA3"/>
    <w:multiLevelType w:val="hybridMultilevel"/>
    <w:tmpl w:val="ED62701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2" w15:restartNumberingAfterBreak="0">
    <w:nsid w:val="5F853F8C"/>
    <w:multiLevelType w:val="hybridMultilevel"/>
    <w:tmpl w:val="1E20F15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184522A"/>
    <w:multiLevelType w:val="hybridMultilevel"/>
    <w:tmpl w:val="D650599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5" w15:restartNumberingAfterBreak="0">
    <w:nsid w:val="67265C18"/>
    <w:multiLevelType w:val="hybridMultilevel"/>
    <w:tmpl w:val="FF5E85DE"/>
    <w:lvl w:ilvl="0" w:tplc="08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6AB3261B"/>
    <w:multiLevelType w:val="hybridMultilevel"/>
    <w:tmpl w:val="338E57F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7" w15:restartNumberingAfterBreak="0">
    <w:nsid w:val="6CDC095D"/>
    <w:multiLevelType w:val="hybridMultilevel"/>
    <w:tmpl w:val="BC8486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F182E58"/>
    <w:multiLevelType w:val="hybridMultilevel"/>
    <w:tmpl w:val="81A63716"/>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6F211AC7"/>
    <w:multiLevelType w:val="hybridMultilevel"/>
    <w:tmpl w:val="C9404FB8"/>
    <w:lvl w:ilvl="0" w:tplc="08130001">
      <w:start w:val="1"/>
      <w:numFmt w:val="bullet"/>
      <w:lvlText w:val=""/>
      <w:lvlJc w:val="left"/>
      <w:pPr>
        <w:ind w:left="360" w:hanging="360"/>
      </w:pPr>
      <w:rPr>
        <w:rFonts w:ascii="Symbol" w:hAnsi="Symbol" w:hint="default"/>
        <w:color w:val="9BBB59" w:themeColor="accent3"/>
      </w:rPr>
    </w:lvl>
    <w:lvl w:ilvl="1" w:tplc="6276AB3E">
      <w:start w:val="1"/>
      <w:numFmt w:val="bullet"/>
      <w:lvlText w:val=""/>
      <w:lvlJc w:val="left"/>
      <w:pPr>
        <w:ind w:left="720" w:hanging="360"/>
      </w:pPr>
      <w:rPr>
        <w:rFonts w:ascii="SimSun" w:hAnsi="SimSun" w:hint="default"/>
        <w:color w:val="9BBB59" w:themeColor="accent3"/>
      </w:rPr>
    </w:lvl>
    <w:lvl w:ilvl="2" w:tplc="08130005">
      <w:start w:val="1"/>
      <w:numFmt w:val="bullet"/>
      <w:lvlText w:val=""/>
      <w:lvlJc w:val="left"/>
      <w:pPr>
        <w:ind w:left="1800" w:hanging="360"/>
      </w:pPr>
      <w:rPr>
        <w:rFonts w:ascii="Mangal" w:hAnsi="Mangal" w:hint="default"/>
      </w:rPr>
    </w:lvl>
    <w:lvl w:ilvl="3" w:tplc="08130001" w:tentative="1">
      <w:start w:val="1"/>
      <w:numFmt w:val="bullet"/>
      <w:lvlText w:val=""/>
      <w:lvlJc w:val="left"/>
      <w:pPr>
        <w:ind w:left="2520" w:hanging="360"/>
      </w:pPr>
      <w:rPr>
        <w:rFonts w:ascii="SimSun" w:hAnsi="SimSun" w:hint="default"/>
      </w:rPr>
    </w:lvl>
    <w:lvl w:ilvl="4" w:tplc="08130003" w:tentative="1">
      <w:start w:val="1"/>
      <w:numFmt w:val="bullet"/>
      <w:lvlText w:val="o"/>
      <w:lvlJc w:val="left"/>
      <w:pPr>
        <w:ind w:left="3240" w:hanging="360"/>
      </w:pPr>
      <w:rPr>
        <w:rFonts w:ascii="Microsoft Sans Serif" w:hAnsi="Microsoft Sans Serif" w:cs="Microsoft Sans Serif" w:hint="default"/>
      </w:rPr>
    </w:lvl>
    <w:lvl w:ilvl="5" w:tplc="08130005" w:tentative="1">
      <w:start w:val="1"/>
      <w:numFmt w:val="bullet"/>
      <w:lvlText w:val=""/>
      <w:lvlJc w:val="left"/>
      <w:pPr>
        <w:ind w:left="3960" w:hanging="360"/>
      </w:pPr>
      <w:rPr>
        <w:rFonts w:ascii="Mangal" w:hAnsi="Mangal" w:hint="default"/>
      </w:rPr>
    </w:lvl>
    <w:lvl w:ilvl="6" w:tplc="08130001" w:tentative="1">
      <w:start w:val="1"/>
      <w:numFmt w:val="bullet"/>
      <w:lvlText w:val=""/>
      <w:lvlJc w:val="left"/>
      <w:pPr>
        <w:ind w:left="4680" w:hanging="360"/>
      </w:pPr>
      <w:rPr>
        <w:rFonts w:ascii="SimSun" w:hAnsi="SimSun" w:hint="default"/>
      </w:rPr>
    </w:lvl>
    <w:lvl w:ilvl="7" w:tplc="08130003" w:tentative="1">
      <w:start w:val="1"/>
      <w:numFmt w:val="bullet"/>
      <w:lvlText w:val="o"/>
      <w:lvlJc w:val="left"/>
      <w:pPr>
        <w:ind w:left="5400" w:hanging="360"/>
      </w:pPr>
      <w:rPr>
        <w:rFonts w:ascii="Microsoft Sans Serif" w:hAnsi="Microsoft Sans Serif" w:cs="Microsoft Sans Serif" w:hint="default"/>
      </w:rPr>
    </w:lvl>
    <w:lvl w:ilvl="8" w:tplc="08130005" w:tentative="1">
      <w:start w:val="1"/>
      <w:numFmt w:val="bullet"/>
      <w:lvlText w:val=""/>
      <w:lvlJc w:val="left"/>
      <w:pPr>
        <w:ind w:left="6120" w:hanging="360"/>
      </w:pPr>
      <w:rPr>
        <w:rFonts w:ascii="Mangal" w:hAnsi="Mangal" w:hint="default"/>
      </w:rPr>
    </w:lvl>
  </w:abstractNum>
  <w:abstractNum w:abstractNumId="50" w15:restartNumberingAfterBreak="0">
    <w:nsid w:val="70C21499"/>
    <w:multiLevelType w:val="hybridMultilevel"/>
    <w:tmpl w:val="C78A8E6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1" w15:restartNumberingAfterBreak="0">
    <w:nsid w:val="7152209E"/>
    <w:multiLevelType w:val="multilevel"/>
    <w:tmpl w:val="FA60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1709E1"/>
    <w:multiLevelType w:val="hybridMultilevel"/>
    <w:tmpl w:val="7BF015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758B29F7"/>
    <w:multiLevelType w:val="hybridMultilevel"/>
    <w:tmpl w:val="53A450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15" w:hanging="360"/>
      </w:pPr>
      <w:rPr>
        <w:rFonts w:ascii="Courier New" w:hAnsi="Courier New" w:cs="Courier New" w:hint="default"/>
      </w:rPr>
    </w:lvl>
    <w:lvl w:ilvl="2" w:tplc="18090005" w:tentative="1">
      <w:start w:val="1"/>
      <w:numFmt w:val="bullet"/>
      <w:lvlText w:val=""/>
      <w:lvlJc w:val="left"/>
      <w:pPr>
        <w:ind w:left="1735" w:hanging="360"/>
      </w:pPr>
      <w:rPr>
        <w:rFonts w:ascii="Wingdings" w:hAnsi="Wingdings" w:hint="default"/>
      </w:rPr>
    </w:lvl>
    <w:lvl w:ilvl="3" w:tplc="18090001" w:tentative="1">
      <w:start w:val="1"/>
      <w:numFmt w:val="bullet"/>
      <w:lvlText w:val=""/>
      <w:lvlJc w:val="left"/>
      <w:pPr>
        <w:ind w:left="2455" w:hanging="360"/>
      </w:pPr>
      <w:rPr>
        <w:rFonts w:ascii="Symbol" w:hAnsi="Symbol" w:hint="default"/>
      </w:rPr>
    </w:lvl>
    <w:lvl w:ilvl="4" w:tplc="18090003" w:tentative="1">
      <w:start w:val="1"/>
      <w:numFmt w:val="bullet"/>
      <w:lvlText w:val="o"/>
      <w:lvlJc w:val="left"/>
      <w:pPr>
        <w:ind w:left="3175" w:hanging="360"/>
      </w:pPr>
      <w:rPr>
        <w:rFonts w:ascii="Courier New" w:hAnsi="Courier New" w:cs="Courier New" w:hint="default"/>
      </w:rPr>
    </w:lvl>
    <w:lvl w:ilvl="5" w:tplc="18090005" w:tentative="1">
      <w:start w:val="1"/>
      <w:numFmt w:val="bullet"/>
      <w:lvlText w:val=""/>
      <w:lvlJc w:val="left"/>
      <w:pPr>
        <w:ind w:left="3895" w:hanging="360"/>
      </w:pPr>
      <w:rPr>
        <w:rFonts w:ascii="Wingdings" w:hAnsi="Wingdings" w:hint="default"/>
      </w:rPr>
    </w:lvl>
    <w:lvl w:ilvl="6" w:tplc="18090001" w:tentative="1">
      <w:start w:val="1"/>
      <w:numFmt w:val="bullet"/>
      <w:lvlText w:val=""/>
      <w:lvlJc w:val="left"/>
      <w:pPr>
        <w:ind w:left="4615" w:hanging="360"/>
      </w:pPr>
      <w:rPr>
        <w:rFonts w:ascii="Symbol" w:hAnsi="Symbol" w:hint="default"/>
      </w:rPr>
    </w:lvl>
    <w:lvl w:ilvl="7" w:tplc="18090003" w:tentative="1">
      <w:start w:val="1"/>
      <w:numFmt w:val="bullet"/>
      <w:lvlText w:val="o"/>
      <w:lvlJc w:val="left"/>
      <w:pPr>
        <w:ind w:left="5335" w:hanging="360"/>
      </w:pPr>
      <w:rPr>
        <w:rFonts w:ascii="Courier New" w:hAnsi="Courier New" w:cs="Courier New" w:hint="default"/>
      </w:rPr>
    </w:lvl>
    <w:lvl w:ilvl="8" w:tplc="18090005" w:tentative="1">
      <w:start w:val="1"/>
      <w:numFmt w:val="bullet"/>
      <w:lvlText w:val=""/>
      <w:lvlJc w:val="left"/>
      <w:pPr>
        <w:ind w:left="6055" w:hanging="360"/>
      </w:pPr>
      <w:rPr>
        <w:rFonts w:ascii="Wingdings" w:hAnsi="Wingdings" w:hint="default"/>
      </w:rPr>
    </w:lvl>
  </w:abstractNum>
  <w:abstractNum w:abstractNumId="54" w15:restartNumberingAfterBreak="0">
    <w:nsid w:val="75D06E22"/>
    <w:multiLevelType w:val="hybridMultilevel"/>
    <w:tmpl w:val="D85609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5" w15:restartNumberingAfterBreak="0">
    <w:nsid w:val="776F3057"/>
    <w:multiLevelType w:val="hybridMultilevel"/>
    <w:tmpl w:val="89BEE5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6" w15:restartNumberingAfterBreak="0">
    <w:nsid w:val="77AC5717"/>
    <w:multiLevelType w:val="hybridMultilevel"/>
    <w:tmpl w:val="9D64A2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AF715B9"/>
    <w:multiLevelType w:val="hybridMultilevel"/>
    <w:tmpl w:val="542EE3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8" w15:restartNumberingAfterBreak="0">
    <w:nsid w:val="7CDC4DFC"/>
    <w:multiLevelType w:val="hybridMultilevel"/>
    <w:tmpl w:val="F0744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43"/>
  </w:num>
  <w:num w:numId="3">
    <w:abstractNumId w:val="13"/>
  </w:num>
  <w:num w:numId="4">
    <w:abstractNumId w:val="58"/>
  </w:num>
  <w:num w:numId="5">
    <w:abstractNumId w:val="56"/>
  </w:num>
  <w:num w:numId="6">
    <w:abstractNumId w:val="22"/>
  </w:num>
  <w:num w:numId="7">
    <w:abstractNumId w:val="16"/>
  </w:num>
  <w:num w:numId="8">
    <w:abstractNumId w:val="4"/>
  </w:num>
  <w:num w:numId="9">
    <w:abstractNumId w:val="25"/>
  </w:num>
  <w:num w:numId="10">
    <w:abstractNumId w:val="24"/>
  </w:num>
  <w:num w:numId="11">
    <w:abstractNumId w:val="20"/>
  </w:num>
  <w:num w:numId="12">
    <w:abstractNumId w:val="15"/>
  </w:num>
  <w:num w:numId="13">
    <w:abstractNumId w:val="27"/>
  </w:num>
  <w:num w:numId="14">
    <w:abstractNumId w:val="53"/>
  </w:num>
  <w:num w:numId="15">
    <w:abstractNumId w:val="37"/>
  </w:num>
  <w:num w:numId="16">
    <w:abstractNumId w:val="34"/>
  </w:num>
  <w:num w:numId="17">
    <w:abstractNumId w:val="47"/>
  </w:num>
  <w:num w:numId="18">
    <w:abstractNumId w:val="39"/>
  </w:num>
  <w:num w:numId="19">
    <w:abstractNumId w:val="8"/>
  </w:num>
  <w:num w:numId="20">
    <w:abstractNumId w:val="51"/>
  </w:num>
  <w:num w:numId="21">
    <w:abstractNumId w:val="48"/>
  </w:num>
  <w:num w:numId="22">
    <w:abstractNumId w:val="11"/>
  </w:num>
  <w:num w:numId="23">
    <w:abstractNumId w:val="17"/>
  </w:num>
  <w:num w:numId="24">
    <w:abstractNumId w:val="12"/>
  </w:num>
  <w:num w:numId="25">
    <w:abstractNumId w:val="23"/>
  </w:num>
  <w:num w:numId="26">
    <w:abstractNumId w:val="9"/>
  </w:num>
  <w:num w:numId="27">
    <w:abstractNumId w:val="1"/>
  </w:num>
  <w:num w:numId="28">
    <w:abstractNumId w:val="38"/>
  </w:num>
  <w:num w:numId="29">
    <w:abstractNumId w:val="52"/>
  </w:num>
  <w:num w:numId="30">
    <w:abstractNumId w:val="54"/>
  </w:num>
  <w:num w:numId="31">
    <w:abstractNumId w:val="45"/>
  </w:num>
  <w:num w:numId="32">
    <w:abstractNumId w:val="42"/>
  </w:num>
  <w:num w:numId="33">
    <w:abstractNumId w:val="57"/>
  </w:num>
  <w:num w:numId="34">
    <w:abstractNumId w:val="10"/>
  </w:num>
  <w:num w:numId="35">
    <w:abstractNumId w:val="6"/>
  </w:num>
  <w:num w:numId="36">
    <w:abstractNumId w:val="0"/>
  </w:num>
  <w:num w:numId="37">
    <w:abstractNumId w:val="50"/>
  </w:num>
  <w:num w:numId="38">
    <w:abstractNumId w:val="5"/>
  </w:num>
  <w:num w:numId="39">
    <w:abstractNumId w:val="41"/>
  </w:num>
  <w:num w:numId="40">
    <w:abstractNumId w:val="19"/>
  </w:num>
  <w:num w:numId="41">
    <w:abstractNumId w:val="55"/>
  </w:num>
  <w:num w:numId="42">
    <w:abstractNumId w:val="32"/>
  </w:num>
  <w:num w:numId="43">
    <w:abstractNumId w:val="44"/>
  </w:num>
  <w:num w:numId="44">
    <w:abstractNumId w:val="3"/>
  </w:num>
  <w:num w:numId="45">
    <w:abstractNumId w:val="49"/>
  </w:num>
  <w:num w:numId="46">
    <w:abstractNumId w:val="26"/>
  </w:num>
  <w:num w:numId="47">
    <w:abstractNumId w:val="46"/>
  </w:num>
  <w:num w:numId="48">
    <w:abstractNumId w:val="2"/>
  </w:num>
  <w:num w:numId="49">
    <w:abstractNumId w:val="33"/>
  </w:num>
  <w:num w:numId="50">
    <w:abstractNumId w:val="7"/>
  </w:num>
  <w:num w:numId="51">
    <w:abstractNumId w:val="30"/>
  </w:num>
  <w:num w:numId="52">
    <w:abstractNumId w:val="28"/>
  </w:num>
  <w:num w:numId="53">
    <w:abstractNumId w:val="40"/>
  </w:num>
  <w:num w:numId="54">
    <w:abstractNumId w:val="36"/>
  </w:num>
  <w:num w:numId="55">
    <w:abstractNumId w:val="18"/>
  </w:num>
  <w:num w:numId="56">
    <w:abstractNumId w:val="14"/>
  </w:num>
  <w:num w:numId="57">
    <w:abstractNumId w:val="29"/>
  </w:num>
  <w:num w:numId="58">
    <w:abstractNumId w:val="35"/>
  </w:num>
  <w:num w:numId="59">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3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94A8448B-E93C-4EFF-A69C-0DBA6C0A5777"/>
    <w:docVar w:name="LW_COVERPAGE_TYPE" w:val="1"/>
    <w:docVar w:name="LW_CROSSREFERENCE" w:val="{COM(2026) 27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   "/>
    <w:docVar w:name="LW_PART_NBR" w:val="1"/>
    <w:docVar w:name="LW_PART_NBR_TOTAL" w:val="1"/>
    <w:docVar w:name="LW_REF.INST.NEW" w:val="SWD"/>
    <w:docVar w:name="LW_REF.INST.NEW_ADOPTED" w:val="final"/>
    <w:docVar w:name="LW_REF.INST.NEW_TEXT" w:val="(2026) 14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Style_Marker&gt;   &lt;/FMT&gt;"/>
    <w:docVar w:name="LW_TYPE.DOC.CP" w:val="COMMISSION STAFF WORKING DOCUMENT_x000b__x000b_EVALUATION_x000b_"/>
    <w:docVar w:name="LW_TYPEACTEPRINCIPAL.CP" w:val="Directive (EU) 2018/1673 of the European Parliament and of the Council of 23 October 2018 on combating money laundering by criminal law  "/>
    <w:docVar w:name="LwApiVersions" w:val="LW4CoDe 1.24.5.0; LW 9.2, Build 20251112"/>
  </w:docVars>
  <w:rsids>
    <w:rsidRoot w:val="006A5F73"/>
    <w:rsid w:val="0000001D"/>
    <w:rsid w:val="000003ED"/>
    <w:rsid w:val="00000D67"/>
    <w:rsid w:val="00000E33"/>
    <w:rsid w:val="0000208A"/>
    <w:rsid w:val="000030A8"/>
    <w:rsid w:val="0000319E"/>
    <w:rsid w:val="0000362A"/>
    <w:rsid w:val="00003B80"/>
    <w:rsid w:val="00004BDA"/>
    <w:rsid w:val="00004C90"/>
    <w:rsid w:val="00004CC4"/>
    <w:rsid w:val="0000576A"/>
    <w:rsid w:val="00005FD1"/>
    <w:rsid w:val="0000630F"/>
    <w:rsid w:val="000069E5"/>
    <w:rsid w:val="00006CDA"/>
    <w:rsid w:val="000071A9"/>
    <w:rsid w:val="000074DA"/>
    <w:rsid w:val="00007794"/>
    <w:rsid w:val="00007832"/>
    <w:rsid w:val="00010E03"/>
    <w:rsid w:val="00011911"/>
    <w:rsid w:val="00011BE2"/>
    <w:rsid w:val="00011C0E"/>
    <w:rsid w:val="00012574"/>
    <w:rsid w:val="000129E3"/>
    <w:rsid w:val="00012AB5"/>
    <w:rsid w:val="00012EF5"/>
    <w:rsid w:val="00013236"/>
    <w:rsid w:val="000148A0"/>
    <w:rsid w:val="00014FA3"/>
    <w:rsid w:val="00015CEF"/>
    <w:rsid w:val="00015D67"/>
    <w:rsid w:val="00016271"/>
    <w:rsid w:val="00016629"/>
    <w:rsid w:val="000168E8"/>
    <w:rsid w:val="000169C2"/>
    <w:rsid w:val="00016F0B"/>
    <w:rsid w:val="000206F1"/>
    <w:rsid w:val="00021172"/>
    <w:rsid w:val="0002123E"/>
    <w:rsid w:val="000215F6"/>
    <w:rsid w:val="000219D9"/>
    <w:rsid w:val="00021D59"/>
    <w:rsid w:val="00022297"/>
    <w:rsid w:val="00022305"/>
    <w:rsid w:val="000225B6"/>
    <w:rsid w:val="000244C9"/>
    <w:rsid w:val="00024C51"/>
    <w:rsid w:val="00025253"/>
    <w:rsid w:val="00026049"/>
    <w:rsid w:val="000267C5"/>
    <w:rsid w:val="000271F3"/>
    <w:rsid w:val="0002737D"/>
    <w:rsid w:val="00027B36"/>
    <w:rsid w:val="00030B6C"/>
    <w:rsid w:val="00030CC6"/>
    <w:rsid w:val="00030DD3"/>
    <w:rsid w:val="00030E7F"/>
    <w:rsid w:val="00030F59"/>
    <w:rsid w:val="00031417"/>
    <w:rsid w:val="00032235"/>
    <w:rsid w:val="000322DF"/>
    <w:rsid w:val="00032308"/>
    <w:rsid w:val="00032972"/>
    <w:rsid w:val="000331E7"/>
    <w:rsid w:val="00033211"/>
    <w:rsid w:val="00033334"/>
    <w:rsid w:val="0003423D"/>
    <w:rsid w:val="000345AC"/>
    <w:rsid w:val="0003468D"/>
    <w:rsid w:val="00035ACE"/>
    <w:rsid w:val="00035B3F"/>
    <w:rsid w:val="000361B0"/>
    <w:rsid w:val="00037389"/>
    <w:rsid w:val="00037ED4"/>
    <w:rsid w:val="00037EFA"/>
    <w:rsid w:val="000407E4"/>
    <w:rsid w:val="0004092F"/>
    <w:rsid w:val="00040FB2"/>
    <w:rsid w:val="000417B2"/>
    <w:rsid w:val="00042031"/>
    <w:rsid w:val="000428D5"/>
    <w:rsid w:val="00042C6C"/>
    <w:rsid w:val="000430FC"/>
    <w:rsid w:val="00043C9E"/>
    <w:rsid w:val="00043EA5"/>
    <w:rsid w:val="0004413D"/>
    <w:rsid w:val="00044C38"/>
    <w:rsid w:val="00045FD5"/>
    <w:rsid w:val="000466F8"/>
    <w:rsid w:val="00046ADE"/>
    <w:rsid w:val="00046C50"/>
    <w:rsid w:val="000478CA"/>
    <w:rsid w:val="00047A98"/>
    <w:rsid w:val="00050100"/>
    <w:rsid w:val="000501BF"/>
    <w:rsid w:val="00050C18"/>
    <w:rsid w:val="00052142"/>
    <w:rsid w:val="00052760"/>
    <w:rsid w:val="0005288F"/>
    <w:rsid w:val="00052970"/>
    <w:rsid w:val="000533D2"/>
    <w:rsid w:val="00053D2B"/>
    <w:rsid w:val="00053FA4"/>
    <w:rsid w:val="00054383"/>
    <w:rsid w:val="000554AB"/>
    <w:rsid w:val="00055961"/>
    <w:rsid w:val="000563E1"/>
    <w:rsid w:val="000572BD"/>
    <w:rsid w:val="00057378"/>
    <w:rsid w:val="00060A54"/>
    <w:rsid w:val="0006328C"/>
    <w:rsid w:val="0006415C"/>
    <w:rsid w:val="00064A40"/>
    <w:rsid w:val="00064EDC"/>
    <w:rsid w:val="00065591"/>
    <w:rsid w:val="00065A83"/>
    <w:rsid w:val="00065F96"/>
    <w:rsid w:val="00066C90"/>
    <w:rsid w:val="00066ECE"/>
    <w:rsid w:val="000709B3"/>
    <w:rsid w:val="00070B58"/>
    <w:rsid w:val="00071446"/>
    <w:rsid w:val="00071C19"/>
    <w:rsid w:val="00071D74"/>
    <w:rsid w:val="00072523"/>
    <w:rsid w:val="000733CD"/>
    <w:rsid w:val="000735FD"/>
    <w:rsid w:val="000737DD"/>
    <w:rsid w:val="000743F5"/>
    <w:rsid w:val="000744B1"/>
    <w:rsid w:val="00074E68"/>
    <w:rsid w:val="00074FDA"/>
    <w:rsid w:val="00075577"/>
    <w:rsid w:val="00075D6C"/>
    <w:rsid w:val="00075F2E"/>
    <w:rsid w:val="0007646B"/>
    <w:rsid w:val="00077180"/>
    <w:rsid w:val="000775B5"/>
    <w:rsid w:val="000817BA"/>
    <w:rsid w:val="000819DC"/>
    <w:rsid w:val="00081B14"/>
    <w:rsid w:val="00083058"/>
    <w:rsid w:val="00083FA5"/>
    <w:rsid w:val="000859AB"/>
    <w:rsid w:val="00085D65"/>
    <w:rsid w:val="00086D5E"/>
    <w:rsid w:val="000903EF"/>
    <w:rsid w:val="00090693"/>
    <w:rsid w:val="00090A41"/>
    <w:rsid w:val="00091021"/>
    <w:rsid w:val="000912F0"/>
    <w:rsid w:val="000915FB"/>
    <w:rsid w:val="000921C2"/>
    <w:rsid w:val="0009257D"/>
    <w:rsid w:val="0009291F"/>
    <w:rsid w:val="00092D6A"/>
    <w:rsid w:val="00092F1A"/>
    <w:rsid w:val="00093F42"/>
    <w:rsid w:val="000947C9"/>
    <w:rsid w:val="0009493C"/>
    <w:rsid w:val="0009533D"/>
    <w:rsid w:val="000954A1"/>
    <w:rsid w:val="000961C4"/>
    <w:rsid w:val="000962F2"/>
    <w:rsid w:val="0009642C"/>
    <w:rsid w:val="000966C4"/>
    <w:rsid w:val="00096D30"/>
    <w:rsid w:val="00096F80"/>
    <w:rsid w:val="00097605"/>
    <w:rsid w:val="000A046E"/>
    <w:rsid w:val="000A141D"/>
    <w:rsid w:val="000A14FD"/>
    <w:rsid w:val="000A29BB"/>
    <w:rsid w:val="000A2D6C"/>
    <w:rsid w:val="000A44F6"/>
    <w:rsid w:val="000A4652"/>
    <w:rsid w:val="000A4DD2"/>
    <w:rsid w:val="000A4E1D"/>
    <w:rsid w:val="000A4E6F"/>
    <w:rsid w:val="000A4ED1"/>
    <w:rsid w:val="000A4EFA"/>
    <w:rsid w:val="000A586E"/>
    <w:rsid w:val="000A6693"/>
    <w:rsid w:val="000A6CA3"/>
    <w:rsid w:val="000A6CF4"/>
    <w:rsid w:val="000A6F2F"/>
    <w:rsid w:val="000A7231"/>
    <w:rsid w:val="000A759B"/>
    <w:rsid w:val="000A75FE"/>
    <w:rsid w:val="000A794A"/>
    <w:rsid w:val="000A7D79"/>
    <w:rsid w:val="000B0D36"/>
    <w:rsid w:val="000B0D44"/>
    <w:rsid w:val="000B12C0"/>
    <w:rsid w:val="000B28BC"/>
    <w:rsid w:val="000B2ECF"/>
    <w:rsid w:val="000B30D0"/>
    <w:rsid w:val="000B37A9"/>
    <w:rsid w:val="000B3A45"/>
    <w:rsid w:val="000B3D3E"/>
    <w:rsid w:val="000B3E81"/>
    <w:rsid w:val="000B4F4D"/>
    <w:rsid w:val="000B574D"/>
    <w:rsid w:val="000B5AF0"/>
    <w:rsid w:val="000C01F4"/>
    <w:rsid w:val="000C08F3"/>
    <w:rsid w:val="000C10CC"/>
    <w:rsid w:val="000C132C"/>
    <w:rsid w:val="000C2F0F"/>
    <w:rsid w:val="000C37D1"/>
    <w:rsid w:val="000C3D8A"/>
    <w:rsid w:val="000C3E88"/>
    <w:rsid w:val="000C3EAA"/>
    <w:rsid w:val="000C40C8"/>
    <w:rsid w:val="000C52CE"/>
    <w:rsid w:val="000C5BEE"/>
    <w:rsid w:val="000C60A2"/>
    <w:rsid w:val="000C60B3"/>
    <w:rsid w:val="000C657A"/>
    <w:rsid w:val="000C68F9"/>
    <w:rsid w:val="000C6F51"/>
    <w:rsid w:val="000C704F"/>
    <w:rsid w:val="000C7E43"/>
    <w:rsid w:val="000C7EB2"/>
    <w:rsid w:val="000D035D"/>
    <w:rsid w:val="000D080A"/>
    <w:rsid w:val="000D0E0D"/>
    <w:rsid w:val="000D1007"/>
    <w:rsid w:val="000D190B"/>
    <w:rsid w:val="000D1C4D"/>
    <w:rsid w:val="000D1D34"/>
    <w:rsid w:val="000D2FA0"/>
    <w:rsid w:val="000D34FE"/>
    <w:rsid w:val="000D3831"/>
    <w:rsid w:val="000D39D5"/>
    <w:rsid w:val="000D3DDE"/>
    <w:rsid w:val="000D462E"/>
    <w:rsid w:val="000D47D4"/>
    <w:rsid w:val="000D499A"/>
    <w:rsid w:val="000D5923"/>
    <w:rsid w:val="000D5A51"/>
    <w:rsid w:val="000D5E87"/>
    <w:rsid w:val="000D649C"/>
    <w:rsid w:val="000D6876"/>
    <w:rsid w:val="000D6C22"/>
    <w:rsid w:val="000D7080"/>
    <w:rsid w:val="000D77D1"/>
    <w:rsid w:val="000D78CD"/>
    <w:rsid w:val="000D7A41"/>
    <w:rsid w:val="000D7CE9"/>
    <w:rsid w:val="000E0982"/>
    <w:rsid w:val="000E0FB2"/>
    <w:rsid w:val="000E1477"/>
    <w:rsid w:val="000E17F5"/>
    <w:rsid w:val="000E3A89"/>
    <w:rsid w:val="000E4971"/>
    <w:rsid w:val="000E4DED"/>
    <w:rsid w:val="000E5A1C"/>
    <w:rsid w:val="000E5EF4"/>
    <w:rsid w:val="000E6754"/>
    <w:rsid w:val="000E70DE"/>
    <w:rsid w:val="000E7159"/>
    <w:rsid w:val="000E785A"/>
    <w:rsid w:val="000E7BE4"/>
    <w:rsid w:val="000F00B9"/>
    <w:rsid w:val="000F0271"/>
    <w:rsid w:val="000F0688"/>
    <w:rsid w:val="000F099B"/>
    <w:rsid w:val="000F1AC7"/>
    <w:rsid w:val="000F2C7D"/>
    <w:rsid w:val="000F37D2"/>
    <w:rsid w:val="000F380C"/>
    <w:rsid w:val="000F44F2"/>
    <w:rsid w:val="000F4875"/>
    <w:rsid w:val="000F59CE"/>
    <w:rsid w:val="000F659D"/>
    <w:rsid w:val="000F69C3"/>
    <w:rsid w:val="000F6A35"/>
    <w:rsid w:val="000F6C66"/>
    <w:rsid w:val="000F7B89"/>
    <w:rsid w:val="0010058A"/>
    <w:rsid w:val="00100F40"/>
    <w:rsid w:val="00101129"/>
    <w:rsid w:val="0010170B"/>
    <w:rsid w:val="00101769"/>
    <w:rsid w:val="00101812"/>
    <w:rsid w:val="00101BD4"/>
    <w:rsid w:val="00103E7D"/>
    <w:rsid w:val="0010424D"/>
    <w:rsid w:val="00104300"/>
    <w:rsid w:val="00104B38"/>
    <w:rsid w:val="00105454"/>
    <w:rsid w:val="0010626B"/>
    <w:rsid w:val="00106AC0"/>
    <w:rsid w:val="0010709A"/>
    <w:rsid w:val="001078FB"/>
    <w:rsid w:val="00107CBF"/>
    <w:rsid w:val="0011078B"/>
    <w:rsid w:val="00110E8F"/>
    <w:rsid w:val="001110A5"/>
    <w:rsid w:val="0011219C"/>
    <w:rsid w:val="00112A3A"/>
    <w:rsid w:val="00112A3B"/>
    <w:rsid w:val="00112C9F"/>
    <w:rsid w:val="00112D22"/>
    <w:rsid w:val="00112E2D"/>
    <w:rsid w:val="001132B5"/>
    <w:rsid w:val="0011333A"/>
    <w:rsid w:val="001136EE"/>
    <w:rsid w:val="00113AFB"/>
    <w:rsid w:val="001151D3"/>
    <w:rsid w:val="0011525F"/>
    <w:rsid w:val="001158A3"/>
    <w:rsid w:val="00115A57"/>
    <w:rsid w:val="00115CEE"/>
    <w:rsid w:val="00116518"/>
    <w:rsid w:val="00116A19"/>
    <w:rsid w:val="00116A83"/>
    <w:rsid w:val="00117F3A"/>
    <w:rsid w:val="001208D4"/>
    <w:rsid w:val="00120A74"/>
    <w:rsid w:val="00120C7C"/>
    <w:rsid w:val="00120CE8"/>
    <w:rsid w:val="001215F8"/>
    <w:rsid w:val="00121847"/>
    <w:rsid w:val="00122943"/>
    <w:rsid w:val="00123041"/>
    <w:rsid w:val="00123244"/>
    <w:rsid w:val="001233DC"/>
    <w:rsid w:val="00123552"/>
    <w:rsid w:val="00123604"/>
    <w:rsid w:val="001237DE"/>
    <w:rsid w:val="00123A3B"/>
    <w:rsid w:val="00123DE9"/>
    <w:rsid w:val="00124A26"/>
    <w:rsid w:val="00124A8B"/>
    <w:rsid w:val="00125456"/>
    <w:rsid w:val="00125B6F"/>
    <w:rsid w:val="00125DDB"/>
    <w:rsid w:val="00126332"/>
    <w:rsid w:val="00126EE1"/>
    <w:rsid w:val="00130A55"/>
    <w:rsid w:val="001322BE"/>
    <w:rsid w:val="00132471"/>
    <w:rsid w:val="00132C6D"/>
    <w:rsid w:val="00132E50"/>
    <w:rsid w:val="001330D1"/>
    <w:rsid w:val="00133F75"/>
    <w:rsid w:val="0013477B"/>
    <w:rsid w:val="00134BC3"/>
    <w:rsid w:val="001351BF"/>
    <w:rsid w:val="0013532C"/>
    <w:rsid w:val="00135CBB"/>
    <w:rsid w:val="00135CDC"/>
    <w:rsid w:val="001360F5"/>
    <w:rsid w:val="00136424"/>
    <w:rsid w:val="00136437"/>
    <w:rsid w:val="00137636"/>
    <w:rsid w:val="00137719"/>
    <w:rsid w:val="00137973"/>
    <w:rsid w:val="00137EF1"/>
    <w:rsid w:val="00140FB5"/>
    <w:rsid w:val="0014149A"/>
    <w:rsid w:val="00141F48"/>
    <w:rsid w:val="00142FF2"/>
    <w:rsid w:val="001443C3"/>
    <w:rsid w:val="001448E5"/>
    <w:rsid w:val="00144AAF"/>
    <w:rsid w:val="00144BD1"/>
    <w:rsid w:val="00146F89"/>
    <w:rsid w:val="001473FB"/>
    <w:rsid w:val="00147A88"/>
    <w:rsid w:val="00147BC1"/>
    <w:rsid w:val="00147D71"/>
    <w:rsid w:val="00147D8A"/>
    <w:rsid w:val="001509C9"/>
    <w:rsid w:val="00150F6D"/>
    <w:rsid w:val="0015113E"/>
    <w:rsid w:val="00151C68"/>
    <w:rsid w:val="00152002"/>
    <w:rsid w:val="00153035"/>
    <w:rsid w:val="00153194"/>
    <w:rsid w:val="001532B7"/>
    <w:rsid w:val="0015359C"/>
    <w:rsid w:val="001540D0"/>
    <w:rsid w:val="00154173"/>
    <w:rsid w:val="001542C6"/>
    <w:rsid w:val="0015446C"/>
    <w:rsid w:val="00155409"/>
    <w:rsid w:val="00156946"/>
    <w:rsid w:val="0016013D"/>
    <w:rsid w:val="001602DF"/>
    <w:rsid w:val="00160C55"/>
    <w:rsid w:val="00161031"/>
    <w:rsid w:val="00161A26"/>
    <w:rsid w:val="00161A9A"/>
    <w:rsid w:val="00161F25"/>
    <w:rsid w:val="00163816"/>
    <w:rsid w:val="00163B66"/>
    <w:rsid w:val="00164AEE"/>
    <w:rsid w:val="00164D38"/>
    <w:rsid w:val="00164E9C"/>
    <w:rsid w:val="00165154"/>
    <w:rsid w:val="0016646E"/>
    <w:rsid w:val="001664C8"/>
    <w:rsid w:val="0016698B"/>
    <w:rsid w:val="00166C0D"/>
    <w:rsid w:val="00167A34"/>
    <w:rsid w:val="00167A52"/>
    <w:rsid w:val="00167A8D"/>
    <w:rsid w:val="00167D22"/>
    <w:rsid w:val="0017047B"/>
    <w:rsid w:val="00171733"/>
    <w:rsid w:val="00171E27"/>
    <w:rsid w:val="00172619"/>
    <w:rsid w:val="00172DD5"/>
    <w:rsid w:val="00173689"/>
    <w:rsid w:val="00173BE2"/>
    <w:rsid w:val="001748C1"/>
    <w:rsid w:val="00174A94"/>
    <w:rsid w:val="00174B45"/>
    <w:rsid w:val="001752BE"/>
    <w:rsid w:val="00175437"/>
    <w:rsid w:val="001763B4"/>
    <w:rsid w:val="00176C0F"/>
    <w:rsid w:val="00176C23"/>
    <w:rsid w:val="00177E72"/>
    <w:rsid w:val="0018027A"/>
    <w:rsid w:val="0018054F"/>
    <w:rsid w:val="001816B2"/>
    <w:rsid w:val="00182D7D"/>
    <w:rsid w:val="00182E5C"/>
    <w:rsid w:val="00183891"/>
    <w:rsid w:val="00184257"/>
    <w:rsid w:val="0018497E"/>
    <w:rsid w:val="00186598"/>
    <w:rsid w:val="00186959"/>
    <w:rsid w:val="00187193"/>
    <w:rsid w:val="0018756E"/>
    <w:rsid w:val="001876CF"/>
    <w:rsid w:val="00187A7A"/>
    <w:rsid w:val="00187BD9"/>
    <w:rsid w:val="00190355"/>
    <w:rsid w:val="001906F8"/>
    <w:rsid w:val="00190A82"/>
    <w:rsid w:val="001910AB"/>
    <w:rsid w:val="00192294"/>
    <w:rsid w:val="00192CAE"/>
    <w:rsid w:val="00192CDB"/>
    <w:rsid w:val="00192E93"/>
    <w:rsid w:val="00193E81"/>
    <w:rsid w:val="0019478C"/>
    <w:rsid w:val="0019493E"/>
    <w:rsid w:val="00194A45"/>
    <w:rsid w:val="00194B26"/>
    <w:rsid w:val="00194BAC"/>
    <w:rsid w:val="00194CE3"/>
    <w:rsid w:val="00195E5D"/>
    <w:rsid w:val="00196C6B"/>
    <w:rsid w:val="001A0160"/>
    <w:rsid w:val="001A0B45"/>
    <w:rsid w:val="001A12BC"/>
    <w:rsid w:val="001A14D8"/>
    <w:rsid w:val="001A2164"/>
    <w:rsid w:val="001A25A5"/>
    <w:rsid w:val="001A2C4C"/>
    <w:rsid w:val="001A411B"/>
    <w:rsid w:val="001A5204"/>
    <w:rsid w:val="001A6275"/>
    <w:rsid w:val="001A7173"/>
    <w:rsid w:val="001A7637"/>
    <w:rsid w:val="001A77D8"/>
    <w:rsid w:val="001A7D67"/>
    <w:rsid w:val="001B0475"/>
    <w:rsid w:val="001B0EF8"/>
    <w:rsid w:val="001B0FF5"/>
    <w:rsid w:val="001B1325"/>
    <w:rsid w:val="001B2298"/>
    <w:rsid w:val="001B245C"/>
    <w:rsid w:val="001B2612"/>
    <w:rsid w:val="001B2710"/>
    <w:rsid w:val="001B2E48"/>
    <w:rsid w:val="001B33D4"/>
    <w:rsid w:val="001B3495"/>
    <w:rsid w:val="001B34EF"/>
    <w:rsid w:val="001B3BE0"/>
    <w:rsid w:val="001B4137"/>
    <w:rsid w:val="001B4366"/>
    <w:rsid w:val="001B4B6E"/>
    <w:rsid w:val="001B4CA4"/>
    <w:rsid w:val="001B4E80"/>
    <w:rsid w:val="001B5046"/>
    <w:rsid w:val="001B57A7"/>
    <w:rsid w:val="001B5CDF"/>
    <w:rsid w:val="001B7B73"/>
    <w:rsid w:val="001C1761"/>
    <w:rsid w:val="001C18FF"/>
    <w:rsid w:val="001C1FC3"/>
    <w:rsid w:val="001C2A2D"/>
    <w:rsid w:val="001C307E"/>
    <w:rsid w:val="001C37A5"/>
    <w:rsid w:val="001C387C"/>
    <w:rsid w:val="001C3A02"/>
    <w:rsid w:val="001C4596"/>
    <w:rsid w:val="001C491B"/>
    <w:rsid w:val="001C4ABB"/>
    <w:rsid w:val="001C5EED"/>
    <w:rsid w:val="001C6CAB"/>
    <w:rsid w:val="001C7552"/>
    <w:rsid w:val="001D0533"/>
    <w:rsid w:val="001D06BB"/>
    <w:rsid w:val="001D25F2"/>
    <w:rsid w:val="001D37EB"/>
    <w:rsid w:val="001D37F5"/>
    <w:rsid w:val="001D3B4A"/>
    <w:rsid w:val="001D3DD7"/>
    <w:rsid w:val="001D41AD"/>
    <w:rsid w:val="001D421E"/>
    <w:rsid w:val="001D4226"/>
    <w:rsid w:val="001D4993"/>
    <w:rsid w:val="001D4BB7"/>
    <w:rsid w:val="001D4F0A"/>
    <w:rsid w:val="001D4FBF"/>
    <w:rsid w:val="001D50F1"/>
    <w:rsid w:val="001D57DF"/>
    <w:rsid w:val="001D5DA5"/>
    <w:rsid w:val="001D614B"/>
    <w:rsid w:val="001D6FF7"/>
    <w:rsid w:val="001D728F"/>
    <w:rsid w:val="001E136A"/>
    <w:rsid w:val="001E1D2B"/>
    <w:rsid w:val="001E1DEE"/>
    <w:rsid w:val="001E2DAE"/>
    <w:rsid w:val="001E3153"/>
    <w:rsid w:val="001E38EC"/>
    <w:rsid w:val="001E4F33"/>
    <w:rsid w:val="001E543B"/>
    <w:rsid w:val="001E5DD2"/>
    <w:rsid w:val="001E6820"/>
    <w:rsid w:val="001E6B2F"/>
    <w:rsid w:val="001E7B5B"/>
    <w:rsid w:val="001F10F9"/>
    <w:rsid w:val="001F1129"/>
    <w:rsid w:val="001F119D"/>
    <w:rsid w:val="001F188C"/>
    <w:rsid w:val="001F18E2"/>
    <w:rsid w:val="001F25BE"/>
    <w:rsid w:val="001F43AC"/>
    <w:rsid w:val="001F4851"/>
    <w:rsid w:val="001F4F23"/>
    <w:rsid w:val="001F5599"/>
    <w:rsid w:val="001F60BA"/>
    <w:rsid w:val="001F61A8"/>
    <w:rsid w:val="001F6757"/>
    <w:rsid w:val="001F6A85"/>
    <w:rsid w:val="001F6C5C"/>
    <w:rsid w:val="001F7AB5"/>
    <w:rsid w:val="0020068A"/>
    <w:rsid w:val="00200CF8"/>
    <w:rsid w:val="002017A1"/>
    <w:rsid w:val="00201EA6"/>
    <w:rsid w:val="002027F6"/>
    <w:rsid w:val="00202DDC"/>
    <w:rsid w:val="00203F11"/>
    <w:rsid w:val="00203F16"/>
    <w:rsid w:val="0020439A"/>
    <w:rsid w:val="002046A3"/>
    <w:rsid w:val="00204A31"/>
    <w:rsid w:val="00205838"/>
    <w:rsid w:val="0020594C"/>
    <w:rsid w:val="00205DA3"/>
    <w:rsid w:val="0020620F"/>
    <w:rsid w:val="00206294"/>
    <w:rsid w:val="00206CB9"/>
    <w:rsid w:val="0020746E"/>
    <w:rsid w:val="00211397"/>
    <w:rsid w:val="00211909"/>
    <w:rsid w:val="00211E82"/>
    <w:rsid w:val="0021251E"/>
    <w:rsid w:val="00212C3C"/>
    <w:rsid w:val="00212FD7"/>
    <w:rsid w:val="00213C8B"/>
    <w:rsid w:val="00213E09"/>
    <w:rsid w:val="00214493"/>
    <w:rsid w:val="00214F32"/>
    <w:rsid w:val="002204CA"/>
    <w:rsid w:val="00220931"/>
    <w:rsid w:val="00220BC5"/>
    <w:rsid w:val="002213A2"/>
    <w:rsid w:val="00221479"/>
    <w:rsid w:val="002214D0"/>
    <w:rsid w:val="002215A5"/>
    <w:rsid w:val="00221769"/>
    <w:rsid w:val="00221874"/>
    <w:rsid w:val="00222184"/>
    <w:rsid w:val="00222CC7"/>
    <w:rsid w:val="00222E21"/>
    <w:rsid w:val="00223B9B"/>
    <w:rsid w:val="00224947"/>
    <w:rsid w:val="002256AE"/>
    <w:rsid w:val="00225ECD"/>
    <w:rsid w:val="00225FD3"/>
    <w:rsid w:val="00225FD7"/>
    <w:rsid w:val="00226064"/>
    <w:rsid w:val="00226646"/>
    <w:rsid w:val="0022736E"/>
    <w:rsid w:val="00230C4B"/>
    <w:rsid w:val="00231100"/>
    <w:rsid w:val="002325A3"/>
    <w:rsid w:val="00233030"/>
    <w:rsid w:val="002336D0"/>
    <w:rsid w:val="00233A6E"/>
    <w:rsid w:val="00234520"/>
    <w:rsid w:val="002347B8"/>
    <w:rsid w:val="00234A7E"/>
    <w:rsid w:val="00234B91"/>
    <w:rsid w:val="00234CB3"/>
    <w:rsid w:val="0023508D"/>
    <w:rsid w:val="00235211"/>
    <w:rsid w:val="00237047"/>
    <w:rsid w:val="0023776F"/>
    <w:rsid w:val="00237CDD"/>
    <w:rsid w:val="0024031F"/>
    <w:rsid w:val="002405CE"/>
    <w:rsid w:val="00240BEF"/>
    <w:rsid w:val="0024107C"/>
    <w:rsid w:val="002413E1"/>
    <w:rsid w:val="00241573"/>
    <w:rsid w:val="0024197E"/>
    <w:rsid w:val="00241D7F"/>
    <w:rsid w:val="002423A2"/>
    <w:rsid w:val="00242CE5"/>
    <w:rsid w:val="002439AB"/>
    <w:rsid w:val="00243C50"/>
    <w:rsid w:val="002442C3"/>
    <w:rsid w:val="00244B63"/>
    <w:rsid w:val="00244D1F"/>
    <w:rsid w:val="00246158"/>
    <w:rsid w:val="00247B9F"/>
    <w:rsid w:val="00247E77"/>
    <w:rsid w:val="00250DB8"/>
    <w:rsid w:val="00250DE8"/>
    <w:rsid w:val="00252797"/>
    <w:rsid w:val="00252820"/>
    <w:rsid w:val="0025287B"/>
    <w:rsid w:val="00252C21"/>
    <w:rsid w:val="00253197"/>
    <w:rsid w:val="002535CA"/>
    <w:rsid w:val="00253EB9"/>
    <w:rsid w:val="00253FEB"/>
    <w:rsid w:val="002541D9"/>
    <w:rsid w:val="002551EA"/>
    <w:rsid w:val="002557A0"/>
    <w:rsid w:val="00255879"/>
    <w:rsid w:val="002559F3"/>
    <w:rsid w:val="00255A33"/>
    <w:rsid w:val="00255BBD"/>
    <w:rsid w:val="00256108"/>
    <w:rsid w:val="00257594"/>
    <w:rsid w:val="00257C1F"/>
    <w:rsid w:val="00257EC5"/>
    <w:rsid w:val="00260C4D"/>
    <w:rsid w:val="00261049"/>
    <w:rsid w:val="00261155"/>
    <w:rsid w:val="00262543"/>
    <w:rsid w:val="0026254F"/>
    <w:rsid w:val="00262711"/>
    <w:rsid w:val="00263CA6"/>
    <w:rsid w:val="00263D47"/>
    <w:rsid w:val="00263D8B"/>
    <w:rsid w:val="002641F2"/>
    <w:rsid w:val="002642B7"/>
    <w:rsid w:val="00264316"/>
    <w:rsid w:val="00264D54"/>
    <w:rsid w:val="00265498"/>
    <w:rsid w:val="0026550C"/>
    <w:rsid w:val="002656C4"/>
    <w:rsid w:val="00265C39"/>
    <w:rsid w:val="00265E4C"/>
    <w:rsid w:val="00266068"/>
    <w:rsid w:val="002660BE"/>
    <w:rsid w:val="00266707"/>
    <w:rsid w:val="002669CF"/>
    <w:rsid w:val="00266B43"/>
    <w:rsid w:val="00266BC5"/>
    <w:rsid w:val="00267466"/>
    <w:rsid w:val="00267B70"/>
    <w:rsid w:val="00267F22"/>
    <w:rsid w:val="00270041"/>
    <w:rsid w:val="002708E8"/>
    <w:rsid w:val="0027096E"/>
    <w:rsid w:val="002709CF"/>
    <w:rsid w:val="0027181A"/>
    <w:rsid w:val="00271AE2"/>
    <w:rsid w:val="00271BBC"/>
    <w:rsid w:val="002726AD"/>
    <w:rsid w:val="00272787"/>
    <w:rsid w:val="00273096"/>
    <w:rsid w:val="00273A6E"/>
    <w:rsid w:val="00274BB1"/>
    <w:rsid w:val="00274C0B"/>
    <w:rsid w:val="00274F05"/>
    <w:rsid w:val="00275011"/>
    <w:rsid w:val="0027578E"/>
    <w:rsid w:val="00276DF8"/>
    <w:rsid w:val="00276F4E"/>
    <w:rsid w:val="002777AA"/>
    <w:rsid w:val="00280169"/>
    <w:rsid w:val="002807CB"/>
    <w:rsid w:val="00280A0E"/>
    <w:rsid w:val="002814D3"/>
    <w:rsid w:val="002819DC"/>
    <w:rsid w:val="00281A9C"/>
    <w:rsid w:val="00281D2B"/>
    <w:rsid w:val="002824A5"/>
    <w:rsid w:val="002824FD"/>
    <w:rsid w:val="002828A2"/>
    <w:rsid w:val="002836EA"/>
    <w:rsid w:val="00283ECE"/>
    <w:rsid w:val="002841B7"/>
    <w:rsid w:val="00285025"/>
    <w:rsid w:val="00286AC5"/>
    <w:rsid w:val="00286EB5"/>
    <w:rsid w:val="00287320"/>
    <w:rsid w:val="00287358"/>
    <w:rsid w:val="00290ADE"/>
    <w:rsid w:val="00290ED1"/>
    <w:rsid w:val="00290EF2"/>
    <w:rsid w:val="00291457"/>
    <w:rsid w:val="002916F9"/>
    <w:rsid w:val="00291AF1"/>
    <w:rsid w:val="002927A1"/>
    <w:rsid w:val="00292915"/>
    <w:rsid w:val="00292FB8"/>
    <w:rsid w:val="0029362B"/>
    <w:rsid w:val="0029375F"/>
    <w:rsid w:val="00294161"/>
    <w:rsid w:val="00294855"/>
    <w:rsid w:val="00294EB2"/>
    <w:rsid w:val="00294EFB"/>
    <w:rsid w:val="002952E4"/>
    <w:rsid w:val="002952E5"/>
    <w:rsid w:val="0029638C"/>
    <w:rsid w:val="002963A5"/>
    <w:rsid w:val="00296E05"/>
    <w:rsid w:val="00297618"/>
    <w:rsid w:val="0029762A"/>
    <w:rsid w:val="002A0089"/>
    <w:rsid w:val="002A01EB"/>
    <w:rsid w:val="002A037E"/>
    <w:rsid w:val="002A09E0"/>
    <w:rsid w:val="002A1A79"/>
    <w:rsid w:val="002A1AF8"/>
    <w:rsid w:val="002A1B2F"/>
    <w:rsid w:val="002A1D89"/>
    <w:rsid w:val="002A28F0"/>
    <w:rsid w:val="002A2C98"/>
    <w:rsid w:val="002A2D51"/>
    <w:rsid w:val="002A3B98"/>
    <w:rsid w:val="002A405A"/>
    <w:rsid w:val="002A5097"/>
    <w:rsid w:val="002A54AD"/>
    <w:rsid w:val="002A5DE1"/>
    <w:rsid w:val="002A668F"/>
    <w:rsid w:val="002A6976"/>
    <w:rsid w:val="002A721B"/>
    <w:rsid w:val="002A7A03"/>
    <w:rsid w:val="002A7B09"/>
    <w:rsid w:val="002A7D97"/>
    <w:rsid w:val="002B1D45"/>
    <w:rsid w:val="002B205B"/>
    <w:rsid w:val="002B21EA"/>
    <w:rsid w:val="002B2551"/>
    <w:rsid w:val="002B2C90"/>
    <w:rsid w:val="002B2CE0"/>
    <w:rsid w:val="002B3045"/>
    <w:rsid w:val="002B30FF"/>
    <w:rsid w:val="002B3F6C"/>
    <w:rsid w:val="002B4001"/>
    <w:rsid w:val="002B4C23"/>
    <w:rsid w:val="002B52AA"/>
    <w:rsid w:val="002B574C"/>
    <w:rsid w:val="002B7366"/>
    <w:rsid w:val="002B748B"/>
    <w:rsid w:val="002B76ED"/>
    <w:rsid w:val="002B7EF4"/>
    <w:rsid w:val="002C01B6"/>
    <w:rsid w:val="002C02CD"/>
    <w:rsid w:val="002C04DF"/>
    <w:rsid w:val="002C0EE1"/>
    <w:rsid w:val="002C201C"/>
    <w:rsid w:val="002C2822"/>
    <w:rsid w:val="002C2A67"/>
    <w:rsid w:val="002C306A"/>
    <w:rsid w:val="002C3B12"/>
    <w:rsid w:val="002C41DC"/>
    <w:rsid w:val="002C48F1"/>
    <w:rsid w:val="002C4AC9"/>
    <w:rsid w:val="002C4E00"/>
    <w:rsid w:val="002C587C"/>
    <w:rsid w:val="002C5BA5"/>
    <w:rsid w:val="002C612B"/>
    <w:rsid w:val="002C631D"/>
    <w:rsid w:val="002C67EE"/>
    <w:rsid w:val="002C7095"/>
    <w:rsid w:val="002D010A"/>
    <w:rsid w:val="002D0F85"/>
    <w:rsid w:val="002D1188"/>
    <w:rsid w:val="002D20B0"/>
    <w:rsid w:val="002D213A"/>
    <w:rsid w:val="002D284B"/>
    <w:rsid w:val="002D4155"/>
    <w:rsid w:val="002D46F3"/>
    <w:rsid w:val="002D5A39"/>
    <w:rsid w:val="002D5B21"/>
    <w:rsid w:val="002D5CB4"/>
    <w:rsid w:val="002D644E"/>
    <w:rsid w:val="002D6928"/>
    <w:rsid w:val="002D7145"/>
    <w:rsid w:val="002D7B0B"/>
    <w:rsid w:val="002D7C5C"/>
    <w:rsid w:val="002E0267"/>
    <w:rsid w:val="002E0E80"/>
    <w:rsid w:val="002E0ED7"/>
    <w:rsid w:val="002E11F7"/>
    <w:rsid w:val="002E1842"/>
    <w:rsid w:val="002E1ADC"/>
    <w:rsid w:val="002E1C94"/>
    <w:rsid w:val="002E1E90"/>
    <w:rsid w:val="002E3176"/>
    <w:rsid w:val="002E385E"/>
    <w:rsid w:val="002E3A9D"/>
    <w:rsid w:val="002E40D4"/>
    <w:rsid w:val="002E4BF5"/>
    <w:rsid w:val="002E540D"/>
    <w:rsid w:val="002E58CA"/>
    <w:rsid w:val="002E67BC"/>
    <w:rsid w:val="002E6B03"/>
    <w:rsid w:val="002E6E8E"/>
    <w:rsid w:val="002E783B"/>
    <w:rsid w:val="002F02F9"/>
    <w:rsid w:val="002F04B6"/>
    <w:rsid w:val="002F0A6C"/>
    <w:rsid w:val="002F1066"/>
    <w:rsid w:val="002F1220"/>
    <w:rsid w:val="002F1D37"/>
    <w:rsid w:val="002F2D8E"/>
    <w:rsid w:val="002F311E"/>
    <w:rsid w:val="002F34AE"/>
    <w:rsid w:val="002F36E2"/>
    <w:rsid w:val="002F4832"/>
    <w:rsid w:val="002F48B6"/>
    <w:rsid w:val="002F4C70"/>
    <w:rsid w:val="002F52B0"/>
    <w:rsid w:val="002F52C1"/>
    <w:rsid w:val="002F6043"/>
    <w:rsid w:val="002F7C48"/>
    <w:rsid w:val="0030087F"/>
    <w:rsid w:val="003013EC"/>
    <w:rsid w:val="003019E5"/>
    <w:rsid w:val="00301ADA"/>
    <w:rsid w:val="003026B2"/>
    <w:rsid w:val="00303131"/>
    <w:rsid w:val="00303310"/>
    <w:rsid w:val="00303BAF"/>
    <w:rsid w:val="003042F7"/>
    <w:rsid w:val="003043F3"/>
    <w:rsid w:val="00304488"/>
    <w:rsid w:val="00304A39"/>
    <w:rsid w:val="00305C52"/>
    <w:rsid w:val="003063CB"/>
    <w:rsid w:val="003070BE"/>
    <w:rsid w:val="00307107"/>
    <w:rsid w:val="003072E9"/>
    <w:rsid w:val="00307320"/>
    <w:rsid w:val="003114DC"/>
    <w:rsid w:val="0031158D"/>
    <w:rsid w:val="00311B03"/>
    <w:rsid w:val="00311FDF"/>
    <w:rsid w:val="00313E68"/>
    <w:rsid w:val="00314504"/>
    <w:rsid w:val="00314CD8"/>
    <w:rsid w:val="003150A2"/>
    <w:rsid w:val="0031543C"/>
    <w:rsid w:val="003166BB"/>
    <w:rsid w:val="00316AA3"/>
    <w:rsid w:val="0031707C"/>
    <w:rsid w:val="0032056A"/>
    <w:rsid w:val="003209D6"/>
    <w:rsid w:val="00320FBB"/>
    <w:rsid w:val="00322036"/>
    <w:rsid w:val="0032205E"/>
    <w:rsid w:val="00322D3B"/>
    <w:rsid w:val="00323089"/>
    <w:rsid w:val="00323192"/>
    <w:rsid w:val="003232CE"/>
    <w:rsid w:val="00323AA9"/>
    <w:rsid w:val="003243B3"/>
    <w:rsid w:val="00324B9D"/>
    <w:rsid w:val="0032506A"/>
    <w:rsid w:val="003254ED"/>
    <w:rsid w:val="00325775"/>
    <w:rsid w:val="00325F27"/>
    <w:rsid w:val="003265D0"/>
    <w:rsid w:val="00327242"/>
    <w:rsid w:val="003272B0"/>
    <w:rsid w:val="00327C5D"/>
    <w:rsid w:val="00330114"/>
    <w:rsid w:val="00330677"/>
    <w:rsid w:val="003306CE"/>
    <w:rsid w:val="0033076B"/>
    <w:rsid w:val="00330B44"/>
    <w:rsid w:val="00331371"/>
    <w:rsid w:val="0033160A"/>
    <w:rsid w:val="00331BB1"/>
    <w:rsid w:val="00331CAA"/>
    <w:rsid w:val="00331F3B"/>
    <w:rsid w:val="00332049"/>
    <w:rsid w:val="0033260F"/>
    <w:rsid w:val="00332860"/>
    <w:rsid w:val="003329DA"/>
    <w:rsid w:val="00332A5F"/>
    <w:rsid w:val="00332C09"/>
    <w:rsid w:val="0033502B"/>
    <w:rsid w:val="003356A7"/>
    <w:rsid w:val="00337650"/>
    <w:rsid w:val="00337D3D"/>
    <w:rsid w:val="00337D7A"/>
    <w:rsid w:val="0034069F"/>
    <w:rsid w:val="00340C90"/>
    <w:rsid w:val="00340F39"/>
    <w:rsid w:val="00341121"/>
    <w:rsid w:val="00341A9B"/>
    <w:rsid w:val="0034257B"/>
    <w:rsid w:val="003442DB"/>
    <w:rsid w:val="00344498"/>
    <w:rsid w:val="00344A3A"/>
    <w:rsid w:val="00345363"/>
    <w:rsid w:val="003454B3"/>
    <w:rsid w:val="00346ED6"/>
    <w:rsid w:val="00350088"/>
    <w:rsid w:val="00350669"/>
    <w:rsid w:val="00351159"/>
    <w:rsid w:val="003520AD"/>
    <w:rsid w:val="0035271B"/>
    <w:rsid w:val="00352C5B"/>
    <w:rsid w:val="00352CA2"/>
    <w:rsid w:val="00353A24"/>
    <w:rsid w:val="00354238"/>
    <w:rsid w:val="0035437D"/>
    <w:rsid w:val="00354AE7"/>
    <w:rsid w:val="003555D2"/>
    <w:rsid w:val="0035584C"/>
    <w:rsid w:val="00355F4C"/>
    <w:rsid w:val="00355FBB"/>
    <w:rsid w:val="003604F6"/>
    <w:rsid w:val="003611A1"/>
    <w:rsid w:val="00361BD0"/>
    <w:rsid w:val="0036212C"/>
    <w:rsid w:val="0036292B"/>
    <w:rsid w:val="00362E25"/>
    <w:rsid w:val="00362E94"/>
    <w:rsid w:val="00362F84"/>
    <w:rsid w:val="003638F4"/>
    <w:rsid w:val="00363E55"/>
    <w:rsid w:val="00364153"/>
    <w:rsid w:val="00364360"/>
    <w:rsid w:val="00364DF4"/>
    <w:rsid w:val="00364F66"/>
    <w:rsid w:val="003652F2"/>
    <w:rsid w:val="003657B6"/>
    <w:rsid w:val="00366D80"/>
    <w:rsid w:val="00366FA1"/>
    <w:rsid w:val="003673D1"/>
    <w:rsid w:val="0036762A"/>
    <w:rsid w:val="003676B3"/>
    <w:rsid w:val="00367960"/>
    <w:rsid w:val="00367DE8"/>
    <w:rsid w:val="00370326"/>
    <w:rsid w:val="00370BC3"/>
    <w:rsid w:val="00371427"/>
    <w:rsid w:val="00371AB6"/>
    <w:rsid w:val="00371F36"/>
    <w:rsid w:val="00372233"/>
    <w:rsid w:val="003725DF"/>
    <w:rsid w:val="00372C0E"/>
    <w:rsid w:val="00373016"/>
    <w:rsid w:val="003736F2"/>
    <w:rsid w:val="00374731"/>
    <w:rsid w:val="00375381"/>
    <w:rsid w:val="003755B2"/>
    <w:rsid w:val="0037566C"/>
    <w:rsid w:val="00375B05"/>
    <w:rsid w:val="003763EB"/>
    <w:rsid w:val="00376564"/>
    <w:rsid w:val="003767F4"/>
    <w:rsid w:val="00376947"/>
    <w:rsid w:val="00376CAB"/>
    <w:rsid w:val="003774D6"/>
    <w:rsid w:val="00377591"/>
    <w:rsid w:val="00377B07"/>
    <w:rsid w:val="00377FEC"/>
    <w:rsid w:val="0038023C"/>
    <w:rsid w:val="00380DAA"/>
    <w:rsid w:val="00381D44"/>
    <w:rsid w:val="00382048"/>
    <w:rsid w:val="00382B8B"/>
    <w:rsid w:val="00382C99"/>
    <w:rsid w:val="0038355E"/>
    <w:rsid w:val="00383A20"/>
    <w:rsid w:val="00383B58"/>
    <w:rsid w:val="003847AB"/>
    <w:rsid w:val="00385838"/>
    <w:rsid w:val="00386410"/>
    <w:rsid w:val="00386749"/>
    <w:rsid w:val="003868FE"/>
    <w:rsid w:val="00387759"/>
    <w:rsid w:val="0038799E"/>
    <w:rsid w:val="00387CB6"/>
    <w:rsid w:val="00387FE6"/>
    <w:rsid w:val="00390047"/>
    <w:rsid w:val="00390529"/>
    <w:rsid w:val="003909C7"/>
    <w:rsid w:val="00390C68"/>
    <w:rsid w:val="00390DC2"/>
    <w:rsid w:val="003912DE"/>
    <w:rsid w:val="003921E2"/>
    <w:rsid w:val="00392DE5"/>
    <w:rsid w:val="00393076"/>
    <w:rsid w:val="00393E03"/>
    <w:rsid w:val="003945E5"/>
    <w:rsid w:val="00394D94"/>
    <w:rsid w:val="00394E83"/>
    <w:rsid w:val="00394F97"/>
    <w:rsid w:val="0039532C"/>
    <w:rsid w:val="00395D62"/>
    <w:rsid w:val="00396105"/>
    <w:rsid w:val="0039684B"/>
    <w:rsid w:val="00396D55"/>
    <w:rsid w:val="00396EE2"/>
    <w:rsid w:val="0039744A"/>
    <w:rsid w:val="003977E4"/>
    <w:rsid w:val="00397B37"/>
    <w:rsid w:val="003A04EF"/>
    <w:rsid w:val="003A05E4"/>
    <w:rsid w:val="003A08A5"/>
    <w:rsid w:val="003A08FC"/>
    <w:rsid w:val="003A0DC3"/>
    <w:rsid w:val="003A2226"/>
    <w:rsid w:val="003A2227"/>
    <w:rsid w:val="003A2BD7"/>
    <w:rsid w:val="003A2E9A"/>
    <w:rsid w:val="003A3963"/>
    <w:rsid w:val="003A3BAA"/>
    <w:rsid w:val="003A3C77"/>
    <w:rsid w:val="003A4A8E"/>
    <w:rsid w:val="003A4BA9"/>
    <w:rsid w:val="003A4E50"/>
    <w:rsid w:val="003A5455"/>
    <w:rsid w:val="003A54E9"/>
    <w:rsid w:val="003A5EA1"/>
    <w:rsid w:val="003A5FA6"/>
    <w:rsid w:val="003A5FDF"/>
    <w:rsid w:val="003A67A0"/>
    <w:rsid w:val="003A6D5A"/>
    <w:rsid w:val="003A70C2"/>
    <w:rsid w:val="003A7724"/>
    <w:rsid w:val="003A7865"/>
    <w:rsid w:val="003A7970"/>
    <w:rsid w:val="003B0A22"/>
    <w:rsid w:val="003B0F57"/>
    <w:rsid w:val="003B16E3"/>
    <w:rsid w:val="003B2CB1"/>
    <w:rsid w:val="003B3093"/>
    <w:rsid w:val="003B3F57"/>
    <w:rsid w:val="003B41E2"/>
    <w:rsid w:val="003B443A"/>
    <w:rsid w:val="003B4CBB"/>
    <w:rsid w:val="003B4F0B"/>
    <w:rsid w:val="003B5E6F"/>
    <w:rsid w:val="003B6190"/>
    <w:rsid w:val="003B675A"/>
    <w:rsid w:val="003B69C8"/>
    <w:rsid w:val="003B75EC"/>
    <w:rsid w:val="003B7D3D"/>
    <w:rsid w:val="003C05F9"/>
    <w:rsid w:val="003C0BEA"/>
    <w:rsid w:val="003C0C03"/>
    <w:rsid w:val="003C107F"/>
    <w:rsid w:val="003C13DC"/>
    <w:rsid w:val="003C1424"/>
    <w:rsid w:val="003C1FFF"/>
    <w:rsid w:val="003C2B50"/>
    <w:rsid w:val="003C3430"/>
    <w:rsid w:val="003C3861"/>
    <w:rsid w:val="003C3B98"/>
    <w:rsid w:val="003C41F2"/>
    <w:rsid w:val="003C4351"/>
    <w:rsid w:val="003C4DB3"/>
    <w:rsid w:val="003C56B6"/>
    <w:rsid w:val="003C576A"/>
    <w:rsid w:val="003C6F1B"/>
    <w:rsid w:val="003C7A55"/>
    <w:rsid w:val="003D1522"/>
    <w:rsid w:val="003D1FE1"/>
    <w:rsid w:val="003D2230"/>
    <w:rsid w:val="003D2AEA"/>
    <w:rsid w:val="003D2F16"/>
    <w:rsid w:val="003D394E"/>
    <w:rsid w:val="003D3FA3"/>
    <w:rsid w:val="003D429B"/>
    <w:rsid w:val="003D4390"/>
    <w:rsid w:val="003D4547"/>
    <w:rsid w:val="003D4595"/>
    <w:rsid w:val="003D45BD"/>
    <w:rsid w:val="003D4863"/>
    <w:rsid w:val="003D51A2"/>
    <w:rsid w:val="003D54E5"/>
    <w:rsid w:val="003D59E2"/>
    <w:rsid w:val="003D5C7F"/>
    <w:rsid w:val="003D60B0"/>
    <w:rsid w:val="003D6896"/>
    <w:rsid w:val="003D6C51"/>
    <w:rsid w:val="003D6CB3"/>
    <w:rsid w:val="003D6CDD"/>
    <w:rsid w:val="003D726B"/>
    <w:rsid w:val="003D753C"/>
    <w:rsid w:val="003E12DC"/>
    <w:rsid w:val="003E15C3"/>
    <w:rsid w:val="003E1D5A"/>
    <w:rsid w:val="003E2742"/>
    <w:rsid w:val="003E3019"/>
    <w:rsid w:val="003E3CA2"/>
    <w:rsid w:val="003E3DB1"/>
    <w:rsid w:val="003E3DD9"/>
    <w:rsid w:val="003E3EA7"/>
    <w:rsid w:val="003E40B6"/>
    <w:rsid w:val="003E42FC"/>
    <w:rsid w:val="003E45CA"/>
    <w:rsid w:val="003E54E5"/>
    <w:rsid w:val="003E57B2"/>
    <w:rsid w:val="003E58D4"/>
    <w:rsid w:val="003E5A36"/>
    <w:rsid w:val="003E6026"/>
    <w:rsid w:val="003E64F9"/>
    <w:rsid w:val="003E67D8"/>
    <w:rsid w:val="003E67E4"/>
    <w:rsid w:val="003E6A59"/>
    <w:rsid w:val="003E72B4"/>
    <w:rsid w:val="003E744F"/>
    <w:rsid w:val="003E7CAC"/>
    <w:rsid w:val="003F06EB"/>
    <w:rsid w:val="003F15C1"/>
    <w:rsid w:val="003F15E3"/>
    <w:rsid w:val="003F2EC0"/>
    <w:rsid w:val="003F2FD7"/>
    <w:rsid w:val="003F398F"/>
    <w:rsid w:val="003F39B7"/>
    <w:rsid w:val="003F4DA3"/>
    <w:rsid w:val="003F544F"/>
    <w:rsid w:val="003F59F8"/>
    <w:rsid w:val="003F6303"/>
    <w:rsid w:val="003F7F1E"/>
    <w:rsid w:val="004005A3"/>
    <w:rsid w:val="00400A67"/>
    <w:rsid w:val="00400AF5"/>
    <w:rsid w:val="00401341"/>
    <w:rsid w:val="004013EE"/>
    <w:rsid w:val="00401BD1"/>
    <w:rsid w:val="004021B5"/>
    <w:rsid w:val="00402F7F"/>
    <w:rsid w:val="00403325"/>
    <w:rsid w:val="004038C1"/>
    <w:rsid w:val="00403BA7"/>
    <w:rsid w:val="00404486"/>
    <w:rsid w:val="0040448A"/>
    <w:rsid w:val="00405189"/>
    <w:rsid w:val="0040598D"/>
    <w:rsid w:val="00405B16"/>
    <w:rsid w:val="0040680A"/>
    <w:rsid w:val="00406E1D"/>
    <w:rsid w:val="00407767"/>
    <w:rsid w:val="00407BC0"/>
    <w:rsid w:val="00407C9B"/>
    <w:rsid w:val="00410328"/>
    <w:rsid w:val="004103D7"/>
    <w:rsid w:val="00410696"/>
    <w:rsid w:val="00410989"/>
    <w:rsid w:val="00411CCE"/>
    <w:rsid w:val="00411D46"/>
    <w:rsid w:val="00412F5A"/>
    <w:rsid w:val="0041336B"/>
    <w:rsid w:val="004136B5"/>
    <w:rsid w:val="004139FC"/>
    <w:rsid w:val="00413AF8"/>
    <w:rsid w:val="00413B9F"/>
    <w:rsid w:val="00414564"/>
    <w:rsid w:val="004149FE"/>
    <w:rsid w:val="00414B49"/>
    <w:rsid w:val="00414DDE"/>
    <w:rsid w:val="00414F14"/>
    <w:rsid w:val="004163F8"/>
    <w:rsid w:val="00416BE8"/>
    <w:rsid w:val="004172CE"/>
    <w:rsid w:val="0042040D"/>
    <w:rsid w:val="00420DDF"/>
    <w:rsid w:val="00421B1D"/>
    <w:rsid w:val="00421EEA"/>
    <w:rsid w:val="0042233B"/>
    <w:rsid w:val="004225EA"/>
    <w:rsid w:val="00422969"/>
    <w:rsid w:val="00422C1A"/>
    <w:rsid w:val="00423890"/>
    <w:rsid w:val="00423994"/>
    <w:rsid w:val="00423F32"/>
    <w:rsid w:val="004240A6"/>
    <w:rsid w:val="0042487D"/>
    <w:rsid w:val="004248DF"/>
    <w:rsid w:val="004252F0"/>
    <w:rsid w:val="0042538A"/>
    <w:rsid w:val="004259C2"/>
    <w:rsid w:val="004259F2"/>
    <w:rsid w:val="00425A79"/>
    <w:rsid w:val="00425B89"/>
    <w:rsid w:val="00425DF7"/>
    <w:rsid w:val="00426248"/>
    <w:rsid w:val="004263D4"/>
    <w:rsid w:val="00430268"/>
    <w:rsid w:val="004302AE"/>
    <w:rsid w:val="004307EB"/>
    <w:rsid w:val="00431D38"/>
    <w:rsid w:val="004321D6"/>
    <w:rsid w:val="004325AB"/>
    <w:rsid w:val="00432D67"/>
    <w:rsid w:val="0043343E"/>
    <w:rsid w:val="0043362D"/>
    <w:rsid w:val="00433952"/>
    <w:rsid w:val="0043420C"/>
    <w:rsid w:val="004343A0"/>
    <w:rsid w:val="004346C0"/>
    <w:rsid w:val="00434ACB"/>
    <w:rsid w:val="004351EF"/>
    <w:rsid w:val="00435430"/>
    <w:rsid w:val="00435522"/>
    <w:rsid w:val="0043559C"/>
    <w:rsid w:val="00436417"/>
    <w:rsid w:val="00436450"/>
    <w:rsid w:val="00436EBD"/>
    <w:rsid w:val="00437552"/>
    <w:rsid w:val="00437FF6"/>
    <w:rsid w:val="00440B8D"/>
    <w:rsid w:val="00440DC4"/>
    <w:rsid w:val="00441191"/>
    <w:rsid w:val="004424BA"/>
    <w:rsid w:val="00442816"/>
    <w:rsid w:val="00442B3D"/>
    <w:rsid w:val="0044385C"/>
    <w:rsid w:val="004439EF"/>
    <w:rsid w:val="00444090"/>
    <w:rsid w:val="0044430D"/>
    <w:rsid w:val="004446F2"/>
    <w:rsid w:val="004453A7"/>
    <w:rsid w:val="0044546A"/>
    <w:rsid w:val="00445802"/>
    <w:rsid w:val="00445A2A"/>
    <w:rsid w:val="004467FC"/>
    <w:rsid w:val="0044713C"/>
    <w:rsid w:val="00450087"/>
    <w:rsid w:val="00450796"/>
    <w:rsid w:val="004509E1"/>
    <w:rsid w:val="00450CFC"/>
    <w:rsid w:val="00450F57"/>
    <w:rsid w:val="004515E3"/>
    <w:rsid w:val="00452C71"/>
    <w:rsid w:val="00452D02"/>
    <w:rsid w:val="0045347D"/>
    <w:rsid w:val="004536C9"/>
    <w:rsid w:val="004537E9"/>
    <w:rsid w:val="00453BB1"/>
    <w:rsid w:val="00453F77"/>
    <w:rsid w:val="004543E3"/>
    <w:rsid w:val="00454AC6"/>
    <w:rsid w:val="00454B4A"/>
    <w:rsid w:val="00454EEF"/>
    <w:rsid w:val="00455964"/>
    <w:rsid w:val="004559A3"/>
    <w:rsid w:val="00455ABB"/>
    <w:rsid w:val="0045604F"/>
    <w:rsid w:val="004563E4"/>
    <w:rsid w:val="004566B8"/>
    <w:rsid w:val="004576A0"/>
    <w:rsid w:val="004579A4"/>
    <w:rsid w:val="00460345"/>
    <w:rsid w:val="004605AA"/>
    <w:rsid w:val="00460CDE"/>
    <w:rsid w:val="00461F3C"/>
    <w:rsid w:val="00463088"/>
    <w:rsid w:val="0046376A"/>
    <w:rsid w:val="0046383B"/>
    <w:rsid w:val="00463C6C"/>
    <w:rsid w:val="00464039"/>
    <w:rsid w:val="004643B8"/>
    <w:rsid w:val="00464D72"/>
    <w:rsid w:val="0046534A"/>
    <w:rsid w:val="004655AB"/>
    <w:rsid w:val="00466815"/>
    <w:rsid w:val="00466884"/>
    <w:rsid w:val="00466D47"/>
    <w:rsid w:val="00467884"/>
    <w:rsid w:val="00467CE3"/>
    <w:rsid w:val="00467D0B"/>
    <w:rsid w:val="00470DFA"/>
    <w:rsid w:val="00471140"/>
    <w:rsid w:val="00471318"/>
    <w:rsid w:val="00472031"/>
    <w:rsid w:val="00473C50"/>
    <w:rsid w:val="004745CD"/>
    <w:rsid w:val="00474E37"/>
    <w:rsid w:val="004769C4"/>
    <w:rsid w:val="004775B6"/>
    <w:rsid w:val="00477679"/>
    <w:rsid w:val="00477F54"/>
    <w:rsid w:val="00477FBB"/>
    <w:rsid w:val="004803AA"/>
    <w:rsid w:val="00480AB2"/>
    <w:rsid w:val="00480D56"/>
    <w:rsid w:val="004812EB"/>
    <w:rsid w:val="004814FA"/>
    <w:rsid w:val="004818AA"/>
    <w:rsid w:val="00482470"/>
    <w:rsid w:val="00482DB5"/>
    <w:rsid w:val="004831C9"/>
    <w:rsid w:val="0048330A"/>
    <w:rsid w:val="0048425B"/>
    <w:rsid w:val="004847B8"/>
    <w:rsid w:val="00484AE4"/>
    <w:rsid w:val="00484C18"/>
    <w:rsid w:val="00484E51"/>
    <w:rsid w:val="00485214"/>
    <w:rsid w:val="00485749"/>
    <w:rsid w:val="00487C2D"/>
    <w:rsid w:val="00487FC6"/>
    <w:rsid w:val="004907A9"/>
    <w:rsid w:val="00490EA0"/>
    <w:rsid w:val="00491C2D"/>
    <w:rsid w:val="00492D8E"/>
    <w:rsid w:val="00493197"/>
    <w:rsid w:val="00493320"/>
    <w:rsid w:val="004946B8"/>
    <w:rsid w:val="00494B31"/>
    <w:rsid w:val="004952F7"/>
    <w:rsid w:val="00495898"/>
    <w:rsid w:val="00496E4E"/>
    <w:rsid w:val="0049720A"/>
    <w:rsid w:val="0049726C"/>
    <w:rsid w:val="00497332"/>
    <w:rsid w:val="00497642"/>
    <w:rsid w:val="00497D1E"/>
    <w:rsid w:val="00497F78"/>
    <w:rsid w:val="004A0112"/>
    <w:rsid w:val="004A0F2A"/>
    <w:rsid w:val="004A0FB3"/>
    <w:rsid w:val="004A11DA"/>
    <w:rsid w:val="004A1392"/>
    <w:rsid w:val="004A2663"/>
    <w:rsid w:val="004A28D4"/>
    <w:rsid w:val="004A3ADA"/>
    <w:rsid w:val="004A3AF6"/>
    <w:rsid w:val="004A53A0"/>
    <w:rsid w:val="004A581F"/>
    <w:rsid w:val="004A5BA8"/>
    <w:rsid w:val="004A5C6A"/>
    <w:rsid w:val="004A61EC"/>
    <w:rsid w:val="004A6926"/>
    <w:rsid w:val="004A6B55"/>
    <w:rsid w:val="004A6F30"/>
    <w:rsid w:val="004B1A44"/>
    <w:rsid w:val="004B1B78"/>
    <w:rsid w:val="004B218C"/>
    <w:rsid w:val="004B233E"/>
    <w:rsid w:val="004B2619"/>
    <w:rsid w:val="004B2BEE"/>
    <w:rsid w:val="004B2DF8"/>
    <w:rsid w:val="004B31F1"/>
    <w:rsid w:val="004B3E5C"/>
    <w:rsid w:val="004B4AA5"/>
    <w:rsid w:val="004B4C77"/>
    <w:rsid w:val="004B4DC0"/>
    <w:rsid w:val="004B4F64"/>
    <w:rsid w:val="004B6815"/>
    <w:rsid w:val="004B6A2E"/>
    <w:rsid w:val="004B6BC5"/>
    <w:rsid w:val="004B7195"/>
    <w:rsid w:val="004B750D"/>
    <w:rsid w:val="004B787B"/>
    <w:rsid w:val="004C055A"/>
    <w:rsid w:val="004C1F63"/>
    <w:rsid w:val="004C2538"/>
    <w:rsid w:val="004C35FE"/>
    <w:rsid w:val="004C39AF"/>
    <w:rsid w:val="004C3A67"/>
    <w:rsid w:val="004C48D7"/>
    <w:rsid w:val="004C4E69"/>
    <w:rsid w:val="004C5236"/>
    <w:rsid w:val="004C5459"/>
    <w:rsid w:val="004C5981"/>
    <w:rsid w:val="004C5C0F"/>
    <w:rsid w:val="004C65AC"/>
    <w:rsid w:val="004C70F1"/>
    <w:rsid w:val="004C7257"/>
    <w:rsid w:val="004C7E0C"/>
    <w:rsid w:val="004D0937"/>
    <w:rsid w:val="004D0A83"/>
    <w:rsid w:val="004D0B96"/>
    <w:rsid w:val="004D1340"/>
    <w:rsid w:val="004D1BCB"/>
    <w:rsid w:val="004D1E88"/>
    <w:rsid w:val="004D2EA7"/>
    <w:rsid w:val="004D35F0"/>
    <w:rsid w:val="004D3A01"/>
    <w:rsid w:val="004D3D00"/>
    <w:rsid w:val="004D40B8"/>
    <w:rsid w:val="004D4FE2"/>
    <w:rsid w:val="004D54F9"/>
    <w:rsid w:val="004D58A5"/>
    <w:rsid w:val="004D6326"/>
    <w:rsid w:val="004D6523"/>
    <w:rsid w:val="004D7200"/>
    <w:rsid w:val="004D726D"/>
    <w:rsid w:val="004D75A7"/>
    <w:rsid w:val="004D75E8"/>
    <w:rsid w:val="004D76DA"/>
    <w:rsid w:val="004D7716"/>
    <w:rsid w:val="004E0AC1"/>
    <w:rsid w:val="004E1000"/>
    <w:rsid w:val="004E1BE7"/>
    <w:rsid w:val="004E2311"/>
    <w:rsid w:val="004E2768"/>
    <w:rsid w:val="004E2F2C"/>
    <w:rsid w:val="004E32B8"/>
    <w:rsid w:val="004E3C0D"/>
    <w:rsid w:val="004E4F53"/>
    <w:rsid w:val="004E5229"/>
    <w:rsid w:val="004E57AB"/>
    <w:rsid w:val="004E6576"/>
    <w:rsid w:val="004E65E8"/>
    <w:rsid w:val="004E67E3"/>
    <w:rsid w:val="004E7100"/>
    <w:rsid w:val="004E78D9"/>
    <w:rsid w:val="004E7D20"/>
    <w:rsid w:val="004E7DAE"/>
    <w:rsid w:val="004F0614"/>
    <w:rsid w:val="004F07C7"/>
    <w:rsid w:val="004F1D1C"/>
    <w:rsid w:val="004F237D"/>
    <w:rsid w:val="004F31D4"/>
    <w:rsid w:val="004F35CE"/>
    <w:rsid w:val="004F38B3"/>
    <w:rsid w:val="004F42F7"/>
    <w:rsid w:val="004F4613"/>
    <w:rsid w:val="004F4E26"/>
    <w:rsid w:val="004F4F81"/>
    <w:rsid w:val="004F4FC0"/>
    <w:rsid w:val="004F5D96"/>
    <w:rsid w:val="004F60D3"/>
    <w:rsid w:val="004F6FD9"/>
    <w:rsid w:val="004F7081"/>
    <w:rsid w:val="004F7311"/>
    <w:rsid w:val="004F75B6"/>
    <w:rsid w:val="004F7856"/>
    <w:rsid w:val="00500407"/>
    <w:rsid w:val="00501236"/>
    <w:rsid w:val="0050218E"/>
    <w:rsid w:val="00502D55"/>
    <w:rsid w:val="00503426"/>
    <w:rsid w:val="00503BA4"/>
    <w:rsid w:val="00503C14"/>
    <w:rsid w:val="00503E94"/>
    <w:rsid w:val="005042CF"/>
    <w:rsid w:val="0050431F"/>
    <w:rsid w:val="00504499"/>
    <w:rsid w:val="005055D6"/>
    <w:rsid w:val="0050578B"/>
    <w:rsid w:val="0050613C"/>
    <w:rsid w:val="0050631C"/>
    <w:rsid w:val="00506339"/>
    <w:rsid w:val="005071CC"/>
    <w:rsid w:val="005077D3"/>
    <w:rsid w:val="00507EDD"/>
    <w:rsid w:val="00510077"/>
    <w:rsid w:val="0051030A"/>
    <w:rsid w:val="005109A2"/>
    <w:rsid w:val="005114CE"/>
    <w:rsid w:val="00512D06"/>
    <w:rsid w:val="00513303"/>
    <w:rsid w:val="00513345"/>
    <w:rsid w:val="00513BBC"/>
    <w:rsid w:val="005144C3"/>
    <w:rsid w:val="005148D5"/>
    <w:rsid w:val="00514BED"/>
    <w:rsid w:val="00514FEA"/>
    <w:rsid w:val="00515E47"/>
    <w:rsid w:val="005175EE"/>
    <w:rsid w:val="00517B4A"/>
    <w:rsid w:val="005206FE"/>
    <w:rsid w:val="00521060"/>
    <w:rsid w:val="00521092"/>
    <w:rsid w:val="0052124B"/>
    <w:rsid w:val="00521445"/>
    <w:rsid w:val="00521B70"/>
    <w:rsid w:val="005222A8"/>
    <w:rsid w:val="00522579"/>
    <w:rsid w:val="005225E8"/>
    <w:rsid w:val="00522C6E"/>
    <w:rsid w:val="00522C96"/>
    <w:rsid w:val="00523016"/>
    <w:rsid w:val="005236E4"/>
    <w:rsid w:val="00523AE7"/>
    <w:rsid w:val="00523E00"/>
    <w:rsid w:val="00524857"/>
    <w:rsid w:val="00524A41"/>
    <w:rsid w:val="00524F59"/>
    <w:rsid w:val="00524F72"/>
    <w:rsid w:val="005257FF"/>
    <w:rsid w:val="005266C5"/>
    <w:rsid w:val="00526955"/>
    <w:rsid w:val="00527C68"/>
    <w:rsid w:val="005300F9"/>
    <w:rsid w:val="00530117"/>
    <w:rsid w:val="00531177"/>
    <w:rsid w:val="0053179C"/>
    <w:rsid w:val="00531AF2"/>
    <w:rsid w:val="00531EC3"/>
    <w:rsid w:val="00532DB6"/>
    <w:rsid w:val="00533160"/>
    <w:rsid w:val="005333EB"/>
    <w:rsid w:val="005344B3"/>
    <w:rsid w:val="00534EC4"/>
    <w:rsid w:val="00536867"/>
    <w:rsid w:val="005376B7"/>
    <w:rsid w:val="00537759"/>
    <w:rsid w:val="00537A86"/>
    <w:rsid w:val="005416BE"/>
    <w:rsid w:val="00541D81"/>
    <w:rsid w:val="00542A56"/>
    <w:rsid w:val="00545242"/>
    <w:rsid w:val="00545C2B"/>
    <w:rsid w:val="00546794"/>
    <w:rsid w:val="00546DFE"/>
    <w:rsid w:val="0054706A"/>
    <w:rsid w:val="005470DF"/>
    <w:rsid w:val="00547FD9"/>
    <w:rsid w:val="00550378"/>
    <w:rsid w:val="0055041A"/>
    <w:rsid w:val="0055187C"/>
    <w:rsid w:val="00551BDE"/>
    <w:rsid w:val="00552031"/>
    <w:rsid w:val="005520E4"/>
    <w:rsid w:val="00552275"/>
    <w:rsid w:val="00552396"/>
    <w:rsid w:val="00553A75"/>
    <w:rsid w:val="00554312"/>
    <w:rsid w:val="00554471"/>
    <w:rsid w:val="00555623"/>
    <w:rsid w:val="00555789"/>
    <w:rsid w:val="00555ED6"/>
    <w:rsid w:val="00555ED7"/>
    <w:rsid w:val="0055615F"/>
    <w:rsid w:val="005565B1"/>
    <w:rsid w:val="00556F27"/>
    <w:rsid w:val="00557221"/>
    <w:rsid w:val="00557CDD"/>
    <w:rsid w:val="00560720"/>
    <w:rsid w:val="0056092A"/>
    <w:rsid w:val="00561001"/>
    <w:rsid w:val="00561406"/>
    <w:rsid w:val="005627EE"/>
    <w:rsid w:val="00563077"/>
    <w:rsid w:val="00563245"/>
    <w:rsid w:val="00563594"/>
    <w:rsid w:val="005636AE"/>
    <w:rsid w:val="005642C2"/>
    <w:rsid w:val="005649F0"/>
    <w:rsid w:val="00565C31"/>
    <w:rsid w:val="00565CBF"/>
    <w:rsid w:val="005662EB"/>
    <w:rsid w:val="00566514"/>
    <w:rsid w:val="00566ADC"/>
    <w:rsid w:val="005671BB"/>
    <w:rsid w:val="005676FC"/>
    <w:rsid w:val="0057017D"/>
    <w:rsid w:val="00570253"/>
    <w:rsid w:val="005710CC"/>
    <w:rsid w:val="00571139"/>
    <w:rsid w:val="00572D7F"/>
    <w:rsid w:val="00572FE4"/>
    <w:rsid w:val="00573417"/>
    <w:rsid w:val="005734C4"/>
    <w:rsid w:val="005738CA"/>
    <w:rsid w:val="00573B0C"/>
    <w:rsid w:val="00573B3E"/>
    <w:rsid w:val="00574564"/>
    <w:rsid w:val="005756E4"/>
    <w:rsid w:val="00575CC5"/>
    <w:rsid w:val="00575E53"/>
    <w:rsid w:val="00576386"/>
    <w:rsid w:val="00577E05"/>
    <w:rsid w:val="00577F75"/>
    <w:rsid w:val="00580046"/>
    <w:rsid w:val="005802C6"/>
    <w:rsid w:val="0058045D"/>
    <w:rsid w:val="0058099D"/>
    <w:rsid w:val="00580DBA"/>
    <w:rsid w:val="005813B3"/>
    <w:rsid w:val="00581E2F"/>
    <w:rsid w:val="005823FE"/>
    <w:rsid w:val="00582EF8"/>
    <w:rsid w:val="00582F11"/>
    <w:rsid w:val="00583E54"/>
    <w:rsid w:val="00583F31"/>
    <w:rsid w:val="00584619"/>
    <w:rsid w:val="00584657"/>
    <w:rsid w:val="00586B85"/>
    <w:rsid w:val="00586BCB"/>
    <w:rsid w:val="00587B56"/>
    <w:rsid w:val="00590C34"/>
    <w:rsid w:val="00591CF0"/>
    <w:rsid w:val="005923CA"/>
    <w:rsid w:val="0059260E"/>
    <w:rsid w:val="005926D7"/>
    <w:rsid w:val="005927BA"/>
    <w:rsid w:val="00592A98"/>
    <w:rsid w:val="00592AB6"/>
    <w:rsid w:val="00592C0E"/>
    <w:rsid w:val="00593027"/>
    <w:rsid w:val="00593294"/>
    <w:rsid w:val="00593D14"/>
    <w:rsid w:val="00593EC3"/>
    <w:rsid w:val="00594482"/>
    <w:rsid w:val="0059491E"/>
    <w:rsid w:val="0059500C"/>
    <w:rsid w:val="00596856"/>
    <w:rsid w:val="00596B1D"/>
    <w:rsid w:val="005A05DD"/>
    <w:rsid w:val="005A10AA"/>
    <w:rsid w:val="005A1BE7"/>
    <w:rsid w:val="005A1F44"/>
    <w:rsid w:val="005A2054"/>
    <w:rsid w:val="005A264F"/>
    <w:rsid w:val="005A2D9F"/>
    <w:rsid w:val="005A3428"/>
    <w:rsid w:val="005A3974"/>
    <w:rsid w:val="005A3A02"/>
    <w:rsid w:val="005A3CE4"/>
    <w:rsid w:val="005A487E"/>
    <w:rsid w:val="005A4AF0"/>
    <w:rsid w:val="005A5ADB"/>
    <w:rsid w:val="005A5E65"/>
    <w:rsid w:val="005A66B6"/>
    <w:rsid w:val="005A70B7"/>
    <w:rsid w:val="005A7464"/>
    <w:rsid w:val="005B0C76"/>
    <w:rsid w:val="005B1002"/>
    <w:rsid w:val="005B133A"/>
    <w:rsid w:val="005B186D"/>
    <w:rsid w:val="005B1A40"/>
    <w:rsid w:val="005B1AC7"/>
    <w:rsid w:val="005B1B02"/>
    <w:rsid w:val="005B1B70"/>
    <w:rsid w:val="005B2196"/>
    <w:rsid w:val="005B27E3"/>
    <w:rsid w:val="005B29A3"/>
    <w:rsid w:val="005B2CA5"/>
    <w:rsid w:val="005B2FF1"/>
    <w:rsid w:val="005B3328"/>
    <w:rsid w:val="005B33AF"/>
    <w:rsid w:val="005B3E36"/>
    <w:rsid w:val="005B5062"/>
    <w:rsid w:val="005B5882"/>
    <w:rsid w:val="005B594C"/>
    <w:rsid w:val="005B628F"/>
    <w:rsid w:val="005B62A7"/>
    <w:rsid w:val="005B64DB"/>
    <w:rsid w:val="005B6C88"/>
    <w:rsid w:val="005B6D43"/>
    <w:rsid w:val="005B79C6"/>
    <w:rsid w:val="005B7F30"/>
    <w:rsid w:val="005C016C"/>
    <w:rsid w:val="005C02A4"/>
    <w:rsid w:val="005C0355"/>
    <w:rsid w:val="005C0869"/>
    <w:rsid w:val="005C1A52"/>
    <w:rsid w:val="005C2928"/>
    <w:rsid w:val="005C2C7D"/>
    <w:rsid w:val="005C2D89"/>
    <w:rsid w:val="005C2E79"/>
    <w:rsid w:val="005C3520"/>
    <w:rsid w:val="005C390A"/>
    <w:rsid w:val="005C3F85"/>
    <w:rsid w:val="005C562C"/>
    <w:rsid w:val="005C57E2"/>
    <w:rsid w:val="005C5FC2"/>
    <w:rsid w:val="005C664E"/>
    <w:rsid w:val="005C67B9"/>
    <w:rsid w:val="005C73F0"/>
    <w:rsid w:val="005C781D"/>
    <w:rsid w:val="005C7920"/>
    <w:rsid w:val="005C7B15"/>
    <w:rsid w:val="005C7F66"/>
    <w:rsid w:val="005D0745"/>
    <w:rsid w:val="005D0749"/>
    <w:rsid w:val="005D0FE6"/>
    <w:rsid w:val="005D1E95"/>
    <w:rsid w:val="005D2C0C"/>
    <w:rsid w:val="005D4654"/>
    <w:rsid w:val="005D4B01"/>
    <w:rsid w:val="005D4BD9"/>
    <w:rsid w:val="005D4C96"/>
    <w:rsid w:val="005D5112"/>
    <w:rsid w:val="005D69D3"/>
    <w:rsid w:val="005D710F"/>
    <w:rsid w:val="005D74F7"/>
    <w:rsid w:val="005D7C18"/>
    <w:rsid w:val="005D7EAE"/>
    <w:rsid w:val="005D7FD8"/>
    <w:rsid w:val="005D7FFD"/>
    <w:rsid w:val="005E0D24"/>
    <w:rsid w:val="005E11AC"/>
    <w:rsid w:val="005E1314"/>
    <w:rsid w:val="005E21A7"/>
    <w:rsid w:val="005E2707"/>
    <w:rsid w:val="005E2807"/>
    <w:rsid w:val="005E2B38"/>
    <w:rsid w:val="005E2FC1"/>
    <w:rsid w:val="005E362B"/>
    <w:rsid w:val="005E4905"/>
    <w:rsid w:val="005E4B78"/>
    <w:rsid w:val="005E4E58"/>
    <w:rsid w:val="005E62C0"/>
    <w:rsid w:val="005E6558"/>
    <w:rsid w:val="005E699E"/>
    <w:rsid w:val="005E6A49"/>
    <w:rsid w:val="005E6E2D"/>
    <w:rsid w:val="005E6E3B"/>
    <w:rsid w:val="005F0B40"/>
    <w:rsid w:val="005F145F"/>
    <w:rsid w:val="005F1861"/>
    <w:rsid w:val="005F1B8E"/>
    <w:rsid w:val="005F1BA1"/>
    <w:rsid w:val="005F2D9A"/>
    <w:rsid w:val="005F3DBD"/>
    <w:rsid w:val="005F3FCB"/>
    <w:rsid w:val="005F5008"/>
    <w:rsid w:val="005F531E"/>
    <w:rsid w:val="005F5872"/>
    <w:rsid w:val="005F64AC"/>
    <w:rsid w:val="005F660D"/>
    <w:rsid w:val="005F6C99"/>
    <w:rsid w:val="005F6F12"/>
    <w:rsid w:val="005F73B8"/>
    <w:rsid w:val="005F749F"/>
    <w:rsid w:val="005F795E"/>
    <w:rsid w:val="005F7DC3"/>
    <w:rsid w:val="00600717"/>
    <w:rsid w:val="00601194"/>
    <w:rsid w:val="006011EC"/>
    <w:rsid w:val="0060171C"/>
    <w:rsid w:val="0060176A"/>
    <w:rsid w:val="00601B98"/>
    <w:rsid w:val="00603063"/>
    <w:rsid w:val="00603589"/>
    <w:rsid w:val="00604FDF"/>
    <w:rsid w:val="00605E67"/>
    <w:rsid w:val="00606195"/>
    <w:rsid w:val="00610992"/>
    <w:rsid w:val="00610A32"/>
    <w:rsid w:val="00610B2B"/>
    <w:rsid w:val="006114AF"/>
    <w:rsid w:val="00611D01"/>
    <w:rsid w:val="00611FC3"/>
    <w:rsid w:val="00612215"/>
    <w:rsid w:val="006122CA"/>
    <w:rsid w:val="006134DB"/>
    <w:rsid w:val="00613A53"/>
    <w:rsid w:val="00613F30"/>
    <w:rsid w:val="00614020"/>
    <w:rsid w:val="00615E8E"/>
    <w:rsid w:val="00616F3E"/>
    <w:rsid w:val="0061722E"/>
    <w:rsid w:val="0061722F"/>
    <w:rsid w:val="0061739B"/>
    <w:rsid w:val="006178BA"/>
    <w:rsid w:val="00617B77"/>
    <w:rsid w:val="00617C02"/>
    <w:rsid w:val="00620373"/>
    <w:rsid w:val="006206B7"/>
    <w:rsid w:val="00620937"/>
    <w:rsid w:val="00621657"/>
    <w:rsid w:val="00622380"/>
    <w:rsid w:val="00622915"/>
    <w:rsid w:val="00622C65"/>
    <w:rsid w:val="00622F90"/>
    <w:rsid w:val="006232F1"/>
    <w:rsid w:val="00623BA5"/>
    <w:rsid w:val="00623C34"/>
    <w:rsid w:val="00624E92"/>
    <w:rsid w:val="006256D7"/>
    <w:rsid w:val="006257A2"/>
    <w:rsid w:val="006258EE"/>
    <w:rsid w:val="00625D06"/>
    <w:rsid w:val="006261CC"/>
    <w:rsid w:val="00626396"/>
    <w:rsid w:val="00626455"/>
    <w:rsid w:val="006279A9"/>
    <w:rsid w:val="00627CDC"/>
    <w:rsid w:val="00630BFD"/>
    <w:rsid w:val="00630D9D"/>
    <w:rsid w:val="00630FBF"/>
    <w:rsid w:val="00631436"/>
    <w:rsid w:val="0063463C"/>
    <w:rsid w:val="0063464B"/>
    <w:rsid w:val="00634B9A"/>
    <w:rsid w:val="00634F64"/>
    <w:rsid w:val="006363BC"/>
    <w:rsid w:val="006365B3"/>
    <w:rsid w:val="00637719"/>
    <w:rsid w:val="00640396"/>
    <w:rsid w:val="00640D27"/>
    <w:rsid w:val="00641369"/>
    <w:rsid w:val="0064249D"/>
    <w:rsid w:val="006424CA"/>
    <w:rsid w:val="006428ED"/>
    <w:rsid w:val="006446A9"/>
    <w:rsid w:val="006448D7"/>
    <w:rsid w:val="00644F41"/>
    <w:rsid w:val="00645FEC"/>
    <w:rsid w:val="0064687A"/>
    <w:rsid w:val="006469CA"/>
    <w:rsid w:val="00646BB2"/>
    <w:rsid w:val="00646DD5"/>
    <w:rsid w:val="006473B6"/>
    <w:rsid w:val="006479A3"/>
    <w:rsid w:val="00647B2C"/>
    <w:rsid w:val="00647B9A"/>
    <w:rsid w:val="00647FE8"/>
    <w:rsid w:val="00650188"/>
    <w:rsid w:val="00650244"/>
    <w:rsid w:val="006521A9"/>
    <w:rsid w:val="00654018"/>
    <w:rsid w:val="006545F8"/>
    <w:rsid w:val="0065471B"/>
    <w:rsid w:val="00654D25"/>
    <w:rsid w:val="006557D0"/>
    <w:rsid w:val="00655FC2"/>
    <w:rsid w:val="006570E5"/>
    <w:rsid w:val="006574E4"/>
    <w:rsid w:val="00657CE2"/>
    <w:rsid w:val="006606FF"/>
    <w:rsid w:val="00660E98"/>
    <w:rsid w:val="006612F0"/>
    <w:rsid w:val="00661BBF"/>
    <w:rsid w:val="00662802"/>
    <w:rsid w:val="006632B1"/>
    <w:rsid w:val="00663586"/>
    <w:rsid w:val="00665A3C"/>
    <w:rsid w:val="00665C82"/>
    <w:rsid w:val="006665D0"/>
    <w:rsid w:val="0066670A"/>
    <w:rsid w:val="00666763"/>
    <w:rsid w:val="00666A7B"/>
    <w:rsid w:val="00667A97"/>
    <w:rsid w:val="00667FD5"/>
    <w:rsid w:val="006700DC"/>
    <w:rsid w:val="00670599"/>
    <w:rsid w:val="00671094"/>
    <w:rsid w:val="006710B0"/>
    <w:rsid w:val="00671BBE"/>
    <w:rsid w:val="00671EE7"/>
    <w:rsid w:val="00672C8B"/>
    <w:rsid w:val="00673C35"/>
    <w:rsid w:val="00673D73"/>
    <w:rsid w:val="00674157"/>
    <w:rsid w:val="00674828"/>
    <w:rsid w:val="00675380"/>
    <w:rsid w:val="00676234"/>
    <w:rsid w:val="006766E0"/>
    <w:rsid w:val="0067784B"/>
    <w:rsid w:val="006800D5"/>
    <w:rsid w:val="006817F8"/>
    <w:rsid w:val="00681B16"/>
    <w:rsid w:val="006833A6"/>
    <w:rsid w:val="006840A7"/>
    <w:rsid w:val="006847B6"/>
    <w:rsid w:val="006850B7"/>
    <w:rsid w:val="006850D5"/>
    <w:rsid w:val="0068573C"/>
    <w:rsid w:val="006862C1"/>
    <w:rsid w:val="0068709B"/>
    <w:rsid w:val="00687513"/>
    <w:rsid w:val="006900CC"/>
    <w:rsid w:val="00690AB5"/>
    <w:rsid w:val="00690AEB"/>
    <w:rsid w:val="00691022"/>
    <w:rsid w:val="006911E3"/>
    <w:rsid w:val="0069136B"/>
    <w:rsid w:val="00691B39"/>
    <w:rsid w:val="00691E03"/>
    <w:rsid w:val="0069255F"/>
    <w:rsid w:val="00692912"/>
    <w:rsid w:val="00692CE8"/>
    <w:rsid w:val="00692DD9"/>
    <w:rsid w:val="00693458"/>
    <w:rsid w:val="0069346E"/>
    <w:rsid w:val="00693970"/>
    <w:rsid w:val="00693B04"/>
    <w:rsid w:val="00694FCA"/>
    <w:rsid w:val="00695A7E"/>
    <w:rsid w:val="00696024"/>
    <w:rsid w:val="00696599"/>
    <w:rsid w:val="006A00D7"/>
    <w:rsid w:val="006A0534"/>
    <w:rsid w:val="006A1830"/>
    <w:rsid w:val="006A1F43"/>
    <w:rsid w:val="006A1FC8"/>
    <w:rsid w:val="006A2E1E"/>
    <w:rsid w:val="006A2E90"/>
    <w:rsid w:val="006A2F84"/>
    <w:rsid w:val="006A363D"/>
    <w:rsid w:val="006A37BF"/>
    <w:rsid w:val="006A39B8"/>
    <w:rsid w:val="006A3DD9"/>
    <w:rsid w:val="006A442D"/>
    <w:rsid w:val="006A4827"/>
    <w:rsid w:val="006A495D"/>
    <w:rsid w:val="006A4E17"/>
    <w:rsid w:val="006A59CD"/>
    <w:rsid w:val="006A5F73"/>
    <w:rsid w:val="006A6750"/>
    <w:rsid w:val="006A6BD1"/>
    <w:rsid w:val="006A6DC1"/>
    <w:rsid w:val="006A7847"/>
    <w:rsid w:val="006B0116"/>
    <w:rsid w:val="006B0338"/>
    <w:rsid w:val="006B041F"/>
    <w:rsid w:val="006B04E7"/>
    <w:rsid w:val="006B15CC"/>
    <w:rsid w:val="006B19E3"/>
    <w:rsid w:val="006B217F"/>
    <w:rsid w:val="006B2188"/>
    <w:rsid w:val="006B252B"/>
    <w:rsid w:val="006B3044"/>
    <w:rsid w:val="006B3B01"/>
    <w:rsid w:val="006B4615"/>
    <w:rsid w:val="006B4AFF"/>
    <w:rsid w:val="006B6A5D"/>
    <w:rsid w:val="006B763E"/>
    <w:rsid w:val="006B779A"/>
    <w:rsid w:val="006B7C01"/>
    <w:rsid w:val="006C0209"/>
    <w:rsid w:val="006C075F"/>
    <w:rsid w:val="006C0D1B"/>
    <w:rsid w:val="006C1324"/>
    <w:rsid w:val="006C14F7"/>
    <w:rsid w:val="006C1A32"/>
    <w:rsid w:val="006C1C2D"/>
    <w:rsid w:val="006C2374"/>
    <w:rsid w:val="006C26B2"/>
    <w:rsid w:val="006C2E54"/>
    <w:rsid w:val="006C316D"/>
    <w:rsid w:val="006C3E54"/>
    <w:rsid w:val="006C4357"/>
    <w:rsid w:val="006C444A"/>
    <w:rsid w:val="006C4670"/>
    <w:rsid w:val="006C47A9"/>
    <w:rsid w:val="006C5580"/>
    <w:rsid w:val="006C588F"/>
    <w:rsid w:val="006C68D7"/>
    <w:rsid w:val="006C6EDD"/>
    <w:rsid w:val="006C737B"/>
    <w:rsid w:val="006D0732"/>
    <w:rsid w:val="006D092A"/>
    <w:rsid w:val="006D1563"/>
    <w:rsid w:val="006D15FD"/>
    <w:rsid w:val="006D190A"/>
    <w:rsid w:val="006D1FFB"/>
    <w:rsid w:val="006D32A9"/>
    <w:rsid w:val="006D32FA"/>
    <w:rsid w:val="006D3E45"/>
    <w:rsid w:val="006D4071"/>
    <w:rsid w:val="006D47AC"/>
    <w:rsid w:val="006D49B4"/>
    <w:rsid w:val="006D4C18"/>
    <w:rsid w:val="006D4F48"/>
    <w:rsid w:val="006D5B15"/>
    <w:rsid w:val="006D6A8A"/>
    <w:rsid w:val="006D717F"/>
    <w:rsid w:val="006D74EB"/>
    <w:rsid w:val="006D75AD"/>
    <w:rsid w:val="006D77CF"/>
    <w:rsid w:val="006D7E14"/>
    <w:rsid w:val="006D7FCD"/>
    <w:rsid w:val="006E175A"/>
    <w:rsid w:val="006E17BC"/>
    <w:rsid w:val="006E23C8"/>
    <w:rsid w:val="006E2A4E"/>
    <w:rsid w:val="006E2FAF"/>
    <w:rsid w:val="006E37F3"/>
    <w:rsid w:val="006E3AF4"/>
    <w:rsid w:val="006E492D"/>
    <w:rsid w:val="006E4969"/>
    <w:rsid w:val="006E4E33"/>
    <w:rsid w:val="006E5E33"/>
    <w:rsid w:val="006E74C6"/>
    <w:rsid w:val="006E7B4F"/>
    <w:rsid w:val="006F00A0"/>
    <w:rsid w:val="006F080B"/>
    <w:rsid w:val="006F1B54"/>
    <w:rsid w:val="006F2330"/>
    <w:rsid w:val="006F26AF"/>
    <w:rsid w:val="006F27DB"/>
    <w:rsid w:val="006F35E6"/>
    <w:rsid w:val="006F3CC3"/>
    <w:rsid w:val="006F43C2"/>
    <w:rsid w:val="006F4C79"/>
    <w:rsid w:val="006F4D78"/>
    <w:rsid w:val="006F4E22"/>
    <w:rsid w:val="006F4E7E"/>
    <w:rsid w:val="006F629A"/>
    <w:rsid w:val="006F6698"/>
    <w:rsid w:val="006F712F"/>
    <w:rsid w:val="006F73C1"/>
    <w:rsid w:val="006F79C9"/>
    <w:rsid w:val="006F7F01"/>
    <w:rsid w:val="00700357"/>
    <w:rsid w:val="007004A5"/>
    <w:rsid w:val="007009A7"/>
    <w:rsid w:val="0070308E"/>
    <w:rsid w:val="007035AE"/>
    <w:rsid w:val="00703988"/>
    <w:rsid w:val="00703AEB"/>
    <w:rsid w:val="007045B2"/>
    <w:rsid w:val="00705783"/>
    <w:rsid w:val="0070589D"/>
    <w:rsid w:val="0070599C"/>
    <w:rsid w:val="00705BCB"/>
    <w:rsid w:val="00706771"/>
    <w:rsid w:val="00706E15"/>
    <w:rsid w:val="00710870"/>
    <w:rsid w:val="007108BC"/>
    <w:rsid w:val="00711278"/>
    <w:rsid w:val="00711481"/>
    <w:rsid w:val="0071160F"/>
    <w:rsid w:val="0071168F"/>
    <w:rsid w:val="00711A05"/>
    <w:rsid w:val="007125A9"/>
    <w:rsid w:val="00712FE8"/>
    <w:rsid w:val="007132AF"/>
    <w:rsid w:val="007133DD"/>
    <w:rsid w:val="0071366D"/>
    <w:rsid w:val="0071472C"/>
    <w:rsid w:val="00714B0E"/>
    <w:rsid w:val="00714B5E"/>
    <w:rsid w:val="00714FFD"/>
    <w:rsid w:val="00715945"/>
    <w:rsid w:val="00716B2C"/>
    <w:rsid w:val="00717F13"/>
    <w:rsid w:val="00720C10"/>
    <w:rsid w:val="00720E14"/>
    <w:rsid w:val="00721080"/>
    <w:rsid w:val="007216A8"/>
    <w:rsid w:val="00721B31"/>
    <w:rsid w:val="00721C59"/>
    <w:rsid w:val="00722205"/>
    <w:rsid w:val="00722B92"/>
    <w:rsid w:val="00722CD0"/>
    <w:rsid w:val="00723C45"/>
    <w:rsid w:val="00724F41"/>
    <w:rsid w:val="00725200"/>
    <w:rsid w:val="00725AB7"/>
    <w:rsid w:val="00725D0C"/>
    <w:rsid w:val="00726100"/>
    <w:rsid w:val="00727510"/>
    <w:rsid w:val="007310E7"/>
    <w:rsid w:val="007314DF"/>
    <w:rsid w:val="00731A65"/>
    <w:rsid w:val="00732178"/>
    <w:rsid w:val="00732337"/>
    <w:rsid w:val="00732730"/>
    <w:rsid w:val="00732761"/>
    <w:rsid w:val="007345CE"/>
    <w:rsid w:val="00734CEB"/>
    <w:rsid w:val="00735053"/>
    <w:rsid w:val="0073516D"/>
    <w:rsid w:val="00735E4F"/>
    <w:rsid w:val="007360F6"/>
    <w:rsid w:val="00736648"/>
    <w:rsid w:val="007370E5"/>
    <w:rsid w:val="00737969"/>
    <w:rsid w:val="00740027"/>
    <w:rsid w:val="007407BB"/>
    <w:rsid w:val="00740CAD"/>
    <w:rsid w:val="007423CB"/>
    <w:rsid w:val="007435DE"/>
    <w:rsid w:val="00743E20"/>
    <w:rsid w:val="00745417"/>
    <w:rsid w:val="00745B11"/>
    <w:rsid w:val="007500AD"/>
    <w:rsid w:val="00750417"/>
    <w:rsid w:val="00750549"/>
    <w:rsid w:val="007508DA"/>
    <w:rsid w:val="0075128F"/>
    <w:rsid w:val="00752129"/>
    <w:rsid w:val="007522A1"/>
    <w:rsid w:val="00752B1C"/>
    <w:rsid w:val="0075331F"/>
    <w:rsid w:val="00753BC8"/>
    <w:rsid w:val="00753D73"/>
    <w:rsid w:val="00753DFD"/>
    <w:rsid w:val="00754579"/>
    <w:rsid w:val="0075466A"/>
    <w:rsid w:val="007552AD"/>
    <w:rsid w:val="007553D0"/>
    <w:rsid w:val="007558AD"/>
    <w:rsid w:val="00755F51"/>
    <w:rsid w:val="0075641D"/>
    <w:rsid w:val="007565AE"/>
    <w:rsid w:val="007567D4"/>
    <w:rsid w:val="00756FFF"/>
    <w:rsid w:val="00757AAB"/>
    <w:rsid w:val="00757B78"/>
    <w:rsid w:val="00757D13"/>
    <w:rsid w:val="00760025"/>
    <w:rsid w:val="00760501"/>
    <w:rsid w:val="00761D43"/>
    <w:rsid w:val="00762945"/>
    <w:rsid w:val="00762CF3"/>
    <w:rsid w:val="00762ECB"/>
    <w:rsid w:val="007642AE"/>
    <w:rsid w:val="0076493C"/>
    <w:rsid w:val="00764D18"/>
    <w:rsid w:val="00766747"/>
    <w:rsid w:val="0076679F"/>
    <w:rsid w:val="00766EEC"/>
    <w:rsid w:val="007678A8"/>
    <w:rsid w:val="00767ADF"/>
    <w:rsid w:val="00767C5A"/>
    <w:rsid w:val="00770E77"/>
    <w:rsid w:val="00771753"/>
    <w:rsid w:val="00772183"/>
    <w:rsid w:val="00772A84"/>
    <w:rsid w:val="00772DB1"/>
    <w:rsid w:val="00773A27"/>
    <w:rsid w:val="00773BC6"/>
    <w:rsid w:val="00773C1B"/>
    <w:rsid w:val="00773FD8"/>
    <w:rsid w:val="00774B9C"/>
    <w:rsid w:val="0077505D"/>
    <w:rsid w:val="007752B6"/>
    <w:rsid w:val="00775446"/>
    <w:rsid w:val="00775E49"/>
    <w:rsid w:val="007765B0"/>
    <w:rsid w:val="007766F1"/>
    <w:rsid w:val="007767D4"/>
    <w:rsid w:val="00776A66"/>
    <w:rsid w:val="00776D17"/>
    <w:rsid w:val="007778DB"/>
    <w:rsid w:val="00777AEE"/>
    <w:rsid w:val="007804E1"/>
    <w:rsid w:val="00780FE7"/>
    <w:rsid w:val="00781294"/>
    <w:rsid w:val="00781523"/>
    <w:rsid w:val="0078191C"/>
    <w:rsid w:val="007821B7"/>
    <w:rsid w:val="0078240B"/>
    <w:rsid w:val="00782502"/>
    <w:rsid w:val="00782C02"/>
    <w:rsid w:val="0078310B"/>
    <w:rsid w:val="007831FD"/>
    <w:rsid w:val="007835D5"/>
    <w:rsid w:val="00783657"/>
    <w:rsid w:val="00783EEE"/>
    <w:rsid w:val="00784AED"/>
    <w:rsid w:val="007855C8"/>
    <w:rsid w:val="007863F7"/>
    <w:rsid w:val="00786795"/>
    <w:rsid w:val="00786C44"/>
    <w:rsid w:val="00786D98"/>
    <w:rsid w:val="00786E4A"/>
    <w:rsid w:val="0078714A"/>
    <w:rsid w:val="00787B28"/>
    <w:rsid w:val="007905A3"/>
    <w:rsid w:val="00790ABA"/>
    <w:rsid w:val="00790DAA"/>
    <w:rsid w:val="007921F6"/>
    <w:rsid w:val="00792440"/>
    <w:rsid w:val="007925D1"/>
    <w:rsid w:val="007925DE"/>
    <w:rsid w:val="00792766"/>
    <w:rsid w:val="00792835"/>
    <w:rsid w:val="007930D3"/>
    <w:rsid w:val="00793224"/>
    <w:rsid w:val="00793C69"/>
    <w:rsid w:val="0079438C"/>
    <w:rsid w:val="00795343"/>
    <w:rsid w:val="00795BB4"/>
    <w:rsid w:val="00796CE6"/>
    <w:rsid w:val="00796EA6"/>
    <w:rsid w:val="007977E3"/>
    <w:rsid w:val="00797AC4"/>
    <w:rsid w:val="007A03EA"/>
    <w:rsid w:val="007A14A1"/>
    <w:rsid w:val="007A17CA"/>
    <w:rsid w:val="007A1BB5"/>
    <w:rsid w:val="007A1C1F"/>
    <w:rsid w:val="007A1FAF"/>
    <w:rsid w:val="007A2130"/>
    <w:rsid w:val="007A21BB"/>
    <w:rsid w:val="007A2928"/>
    <w:rsid w:val="007A2C39"/>
    <w:rsid w:val="007A2C42"/>
    <w:rsid w:val="007A3000"/>
    <w:rsid w:val="007A3CC6"/>
    <w:rsid w:val="007A4321"/>
    <w:rsid w:val="007A548E"/>
    <w:rsid w:val="007A5C10"/>
    <w:rsid w:val="007A5D45"/>
    <w:rsid w:val="007A64B8"/>
    <w:rsid w:val="007A676B"/>
    <w:rsid w:val="007A690C"/>
    <w:rsid w:val="007A6AC1"/>
    <w:rsid w:val="007A6E6D"/>
    <w:rsid w:val="007A7C11"/>
    <w:rsid w:val="007B024B"/>
    <w:rsid w:val="007B0525"/>
    <w:rsid w:val="007B1E40"/>
    <w:rsid w:val="007B227D"/>
    <w:rsid w:val="007B23D6"/>
    <w:rsid w:val="007B24A2"/>
    <w:rsid w:val="007B254F"/>
    <w:rsid w:val="007B33C4"/>
    <w:rsid w:val="007B37A1"/>
    <w:rsid w:val="007B3A8A"/>
    <w:rsid w:val="007B3B96"/>
    <w:rsid w:val="007B3CF4"/>
    <w:rsid w:val="007B4422"/>
    <w:rsid w:val="007B467A"/>
    <w:rsid w:val="007B5831"/>
    <w:rsid w:val="007B5DE3"/>
    <w:rsid w:val="007B65A4"/>
    <w:rsid w:val="007B6732"/>
    <w:rsid w:val="007B6B27"/>
    <w:rsid w:val="007B6D30"/>
    <w:rsid w:val="007B7019"/>
    <w:rsid w:val="007B74D1"/>
    <w:rsid w:val="007B79C3"/>
    <w:rsid w:val="007B7C2C"/>
    <w:rsid w:val="007B7EBC"/>
    <w:rsid w:val="007C0479"/>
    <w:rsid w:val="007C04F7"/>
    <w:rsid w:val="007C0575"/>
    <w:rsid w:val="007C0E77"/>
    <w:rsid w:val="007C19C7"/>
    <w:rsid w:val="007C1C33"/>
    <w:rsid w:val="007C380E"/>
    <w:rsid w:val="007C4409"/>
    <w:rsid w:val="007C49B7"/>
    <w:rsid w:val="007C5FDB"/>
    <w:rsid w:val="007C697D"/>
    <w:rsid w:val="007C75F0"/>
    <w:rsid w:val="007C7F00"/>
    <w:rsid w:val="007D0B4B"/>
    <w:rsid w:val="007D110E"/>
    <w:rsid w:val="007D1913"/>
    <w:rsid w:val="007D1C1C"/>
    <w:rsid w:val="007D1DE4"/>
    <w:rsid w:val="007D2E36"/>
    <w:rsid w:val="007D2FE1"/>
    <w:rsid w:val="007D33C0"/>
    <w:rsid w:val="007D3467"/>
    <w:rsid w:val="007D3743"/>
    <w:rsid w:val="007D388B"/>
    <w:rsid w:val="007D487C"/>
    <w:rsid w:val="007D4F44"/>
    <w:rsid w:val="007D533F"/>
    <w:rsid w:val="007D58C4"/>
    <w:rsid w:val="007D5D4F"/>
    <w:rsid w:val="007D5E1C"/>
    <w:rsid w:val="007D5F83"/>
    <w:rsid w:val="007D5FB3"/>
    <w:rsid w:val="007D6882"/>
    <w:rsid w:val="007D74A0"/>
    <w:rsid w:val="007E1256"/>
    <w:rsid w:val="007E13C7"/>
    <w:rsid w:val="007E16A0"/>
    <w:rsid w:val="007E2FCC"/>
    <w:rsid w:val="007E37C1"/>
    <w:rsid w:val="007E3EDE"/>
    <w:rsid w:val="007E4226"/>
    <w:rsid w:val="007E4752"/>
    <w:rsid w:val="007E4C7A"/>
    <w:rsid w:val="007E57E0"/>
    <w:rsid w:val="007E5C22"/>
    <w:rsid w:val="007E5C95"/>
    <w:rsid w:val="007E6039"/>
    <w:rsid w:val="007E6CCA"/>
    <w:rsid w:val="007E6E96"/>
    <w:rsid w:val="007E7093"/>
    <w:rsid w:val="007E7181"/>
    <w:rsid w:val="007E7270"/>
    <w:rsid w:val="007E7669"/>
    <w:rsid w:val="007E780C"/>
    <w:rsid w:val="007E786D"/>
    <w:rsid w:val="007E7CFB"/>
    <w:rsid w:val="007E7D88"/>
    <w:rsid w:val="007E7FB8"/>
    <w:rsid w:val="007F0E72"/>
    <w:rsid w:val="007F1454"/>
    <w:rsid w:val="007F146F"/>
    <w:rsid w:val="007F2146"/>
    <w:rsid w:val="007F2F7D"/>
    <w:rsid w:val="007F3A0A"/>
    <w:rsid w:val="007F3DAB"/>
    <w:rsid w:val="007F3FC0"/>
    <w:rsid w:val="007F407F"/>
    <w:rsid w:val="007F4CC2"/>
    <w:rsid w:val="007F4F6E"/>
    <w:rsid w:val="007F6835"/>
    <w:rsid w:val="007F7AE9"/>
    <w:rsid w:val="008000C7"/>
    <w:rsid w:val="008004AC"/>
    <w:rsid w:val="00800B88"/>
    <w:rsid w:val="00800D71"/>
    <w:rsid w:val="00801688"/>
    <w:rsid w:val="00801FAD"/>
    <w:rsid w:val="008033CC"/>
    <w:rsid w:val="00803854"/>
    <w:rsid w:val="008038FA"/>
    <w:rsid w:val="0080397D"/>
    <w:rsid w:val="008046A1"/>
    <w:rsid w:val="0080542D"/>
    <w:rsid w:val="0080615E"/>
    <w:rsid w:val="00806698"/>
    <w:rsid w:val="00806B9B"/>
    <w:rsid w:val="0081018B"/>
    <w:rsid w:val="0081085D"/>
    <w:rsid w:val="00810BBE"/>
    <w:rsid w:val="0081102A"/>
    <w:rsid w:val="00811B88"/>
    <w:rsid w:val="00811D10"/>
    <w:rsid w:val="00812626"/>
    <w:rsid w:val="00812D78"/>
    <w:rsid w:val="00812F47"/>
    <w:rsid w:val="00813410"/>
    <w:rsid w:val="0081442E"/>
    <w:rsid w:val="00814462"/>
    <w:rsid w:val="00814743"/>
    <w:rsid w:val="00814A5A"/>
    <w:rsid w:val="00815113"/>
    <w:rsid w:val="0081563F"/>
    <w:rsid w:val="00815748"/>
    <w:rsid w:val="00815E21"/>
    <w:rsid w:val="00815E80"/>
    <w:rsid w:val="008165B0"/>
    <w:rsid w:val="008166EE"/>
    <w:rsid w:val="0081672C"/>
    <w:rsid w:val="00816B2B"/>
    <w:rsid w:val="008171B2"/>
    <w:rsid w:val="008173E8"/>
    <w:rsid w:val="00817F36"/>
    <w:rsid w:val="0082009C"/>
    <w:rsid w:val="00820903"/>
    <w:rsid w:val="00820B95"/>
    <w:rsid w:val="00820D2F"/>
    <w:rsid w:val="00821965"/>
    <w:rsid w:val="00821E21"/>
    <w:rsid w:val="00821E6E"/>
    <w:rsid w:val="0082263E"/>
    <w:rsid w:val="008239A1"/>
    <w:rsid w:val="00824CA3"/>
    <w:rsid w:val="008251AB"/>
    <w:rsid w:val="00826169"/>
    <w:rsid w:val="0082652B"/>
    <w:rsid w:val="00827093"/>
    <w:rsid w:val="008270BD"/>
    <w:rsid w:val="0082780C"/>
    <w:rsid w:val="00827DBA"/>
    <w:rsid w:val="00827EED"/>
    <w:rsid w:val="008306EB"/>
    <w:rsid w:val="008307F1"/>
    <w:rsid w:val="00831E2D"/>
    <w:rsid w:val="008320A8"/>
    <w:rsid w:val="00832820"/>
    <w:rsid w:val="00833A68"/>
    <w:rsid w:val="00834701"/>
    <w:rsid w:val="00835711"/>
    <w:rsid w:val="00835A71"/>
    <w:rsid w:val="008365D2"/>
    <w:rsid w:val="00837317"/>
    <w:rsid w:val="008403C0"/>
    <w:rsid w:val="00840758"/>
    <w:rsid w:val="00840B7D"/>
    <w:rsid w:val="008417A5"/>
    <w:rsid w:val="008418E1"/>
    <w:rsid w:val="00841BA1"/>
    <w:rsid w:val="00841D79"/>
    <w:rsid w:val="00841DAF"/>
    <w:rsid w:val="00841F07"/>
    <w:rsid w:val="00841FB5"/>
    <w:rsid w:val="00842030"/>
    <w:rsid w:val="008420CB"/>
    <w:rsid w:val="008423F1"/>
    <w:rsid w:val="00842620"/>
    <w:rsid w:val="00843468"/>
    <w:rsid w:val="00845266"/>
    <w:rsid w:val="0084546E"/>
    <w:rsid w:val="0084595B"/>
    <w:rsid w:val="008467DE"/>
    <w:rsid w:val="00846CB0"/>
    <w:rsid w:val="00846CE0"/>
    <w:rsid w:val="008474E2"/>
    <w:rsid w:val="00847811"/>
    <w:rsid w:val="00847D97"/>
    <w:rsid w:val="00851121"/>
    <w:rsid w:val="0085152B"/>
    <w:rsid w:val="008528DE"/>
    <w:rsid w:val="00852A70"/>
    <w:rsid w:val="00852AE9"/>
    <w:rsid w:val="008530D4"/>
    <w:rsid w:val="00853BB8"/>
    <w:rsid w:val="00854D65"/>
    <w:rsid w:val="00855585"/>
    <w:rsid w:val="00855612"/>
    <w:rsid w:val="0085574B"/>
    <w:rsid w:val="008565DC"/>
    <w:rsid w:val="00856ABA"/>
    <w:rsid w:val="00856FDE"/>
    <w:rsid w:val="00860D9D"/>
    <w:rsid w:val="008612B9"/>
    <w:rsid w:val="00861D8C"/>
    <w:rsid w:val="00862A1C"/>
    <w:rsid w:val="00862FD5"/>
    <w:rsid w:val="00863DA3"/>
    <w:rsid w:val="00863F93"/>
    <w:rsid w:val="00864028"/>
    <w:rsid w:val="00864666"/>
    <w:rsid w:val="0086612D"/>
    <w:rsid w:val="0086646B"/>
    <w:rsid w:val="008669FD"/>
    <w:rsid w:val="00866D06"/>
    <w:rsid w:val="00866F2C"/>
    <w:rsid w:val="00867846"/>
    <w:rsid w:val="00867895"/>
    <w:rsid w:val="008679E9"/>
    <w:rsid w:val="00867ED2"/>
    <w:rsid w:val="00870EAE"/>
    <w:rsid w:val="008711F8"/>
    <w:rsid w:val="00871529"/>
    <w:rsid w:val="008717DC"/>
    <w:rsid w:val="00871A81"/>
    <w:rsid w:val="00871BD2"/>
    <w:rsid w:val="00872776"/>
    <w:rsid w:val="00872B1C"/>
    <w:rsid w:val="00873330"/>
    <w:rsid w:val="00873575"/>
    <w:rsid w:val="0087397B"/>
    <w:rsid w:val="00873CEC"/>
    <w:rsid w:val="00873ECD"/>
    <w:rsid w:val="008744D8"/>
    <w:rsid w:val="00875758"/>
    <w:rsid w:val="00875BCD"/>
    <w:rsid w:val="008763AF"/>
    <w:rsid w:val="00876FC4"/>
    <w:rsid w:val="00876FEB"/>
    <w:rsid w:val="008772FB"/>
    <w:rsid w:val="00877CDA"/>
    <w:rsid w:val="008802AD"/>
    <w:rsid w:val="00880E83"/>
    <w:rsid w:val="00880F84"/>
    <w:rsid w:val="00881024"/>
    <w:rsid w:val="00881251"/>
    <w:rsid w:val="0088138C"/>
    <w:rsid w:val="00881A30"/>
    <w:rsid w:val="008820B7"/>
    <w:rsid w:val="008822DA"/>
    <w:rsid w:val="00882865"/>
    <w:rsid w:val="00883B20"/>
    <w:rsid w:val="00883F2B"/>
    <w:rsid w:val="00884386"/>
    <w:rsid w:val="00884EC0"/>
    <w:rsid w:val="0088526E"/>
    <w:rsid w:val="00885484"/>
    <w:rsid w:val="0088560C"/>
    <w:rsid w:val="008862DA"/>
    <w:rsid w:val="00886F3A"/>
    <w:rsid w:val="00887485"/>
    <w:rsid w:val="00887719"/>
    <w:rsid w:val="00887A51"/>
    <w:rsid w:val="0089022B"/>
    <w:rsid w:val="0089095C"/>
    <w:rsid w:val="008914C6"/>
    <w:rsid w:val="00892271"/>
    <w:rsid w:val="00892816"/>
    <w:rsid w:val="00892A6C"/>
    <w:rsid w:val="0089404F"/>
    <w:rsid w:val="00894C2B"/>
    <w:rsid w:val="00894FAB"/>
    <w:rsid w:val="00895278"/>
    <w:rsid w:val="00895576"/>
    <w:rsid w:val="00895D52"/>
    <w:rsid w:val="00896079"/>
    <w:rsid w:val="00896315"/>
    <w:rsid w:val="008977F2"/>
    <w:rsid w:val="00897EBB"/>
    <w:rsid w:val="00897FDA"/>
    <w:rsid w:val="008A0517"/>
    <w:rsid w:val="008A075E"/>
    <w:rsid w:val="008A1323"/>
    <w:rsid w:val="008A1C87"/>
    <w:rsid w:val="008A277F"/>
    <w:rsid w:val="008A2BF3"/>
    <w:rsid w:val="008A2DA7"/>
    <w:rsid w:val="008A30AA"/>
    <w:rsid w:val="008A47B8"/>
    <w:rsid w:val="008A4E0E"/>
    <w:rsid w:val="008A5C2B"/>
    <w:rsid w:val="008A642C"/>
    <w:rsid w:val="008A6D71"/>
    <w:rsid w:val="008A7ABE"/>
    <w:rsid w:val="008A7B14"/>
    <w:rsid w:val="008A7E88"/>
    <w:rsid w:val="008B0918"/>
    <w:rsid w:val="008B1478"/>
    <w:rsid w:val="008B2257"/>
    <w:rsid w:val="008B3E8F"/>
    <w:rsid w:val="008B4015"/>
    <w:rsid w:val="008B404F"/>
    <w:rsid w:val="008B43C0"/>
    <w:rsid w:val="008B4522"/>
    <w:rsid w:val="008B46AC"/>
    <w:rsid w:val="008B4B82"/>
    <w:rsid w:val="008B4C93"/>
    <w:rsid w:val="008B511B"/>
    <w:rsid w:val="008B5313"/>
    <w:rsid w:val="008B5E54"/>
    <w:rsid w:val="008B62C2"/>
    <w:rsid w:val="008B68B4"/>
    <w:rsid w:val="008B7252"/>
    <w:rsid w:val="008B7906"/>
    <w:rsid w:val="008C104B"/>
    <w:rsid w:val="008C28F8"/>
    <w:rsid w:val="008C2C3F"/>
    <w:rsid w:val="008C2F6B"/>
    <w:rsid w:val="008C2FF3"/>
    <w:rsid w:val="008C34BA"/>
    <w:rsid w:val="008C42B0"/>
    <w:rsid w:val="008C56FA"/>
    <w:rsid w:val="008C5C3F"/>
    <w:rsid w:val="008C648C"/>
    <w:rsid w:val="008C6A04"/>
    <w:rsid w:val="008C6C79"/>
    <w:rsid w:val="008C6ED1"/>
    <w:rsid w:val="008C7195"/>
    <w:rsid w:val="008C74FF"/>
    <w:rsid w:val="008C760C"/>
    <w:rsid w:val="008C775C"/>
    <w:rsid w:val="008C7FC1"/>
    <w:rsid w:val="008D167D"/>
    <w:rsid w:val="008D18FD"/>
    <w:rsid w:val="008D1BA0"/>
    <w:rsid w:val="008D1C3E"/>
    <w:rsid w:val="008D3E42"/>
    <w:rsid w:val="008D404A"/>
    <w:rsid w:val="008D58B8"/>
    <w:rsid w:val="008D59A3"/>
    <w:rsid w:val="008D5E92"/>
    <w:rsid w:val="008D6705"/>
    <w:rsid w:val="008D6948"/>
    <w:rsid w:val="008D777E"/>
    <w:rsid w:val="008D7E64"/>
    <w:rsid w:val="008D7EB2"/>
    <w:rsid w:val="008E00A9"/>
    <w:rsid w:val="008E0D8D"/>
    <w:rsid w:val="008E0DD4"/>
    <w:rsid w:val="008E0F68"/>
    <w:rsid w:val="008E1A73"/>
    <w:rsid w:val="008E2199"/>
    <w:rsid w:val="008E2A63"/>
    <w:rsid w:val="008E2AA6"/>
    <w:rsid w:val="008E34BB"/>
    <w:rsid w:val="008E3F13"/>
    <w:rsid w:val="008E45B8"/>
    <w:rsid w:val="008E4741"/>
    <w:rsid w:val="008E4BC9"/>
    <w:rsid w:val="008E55EB"/>
    <w:rsid w:val="008E5B4A"/>
    <w:rsid w:val="008E60C2"/>
    <w:rsid w:val="008E63A4"/>
    <w:rsid w:val="008E69FB"/>
    <w:rsid w:val="008E6A88"/>
    <w:rsid w:val="008F0C67"/>
    <w:rsid w:val="008F1370"/>
    <w:rsid w:val="008F14E9"/>
    <w:rsid w:val="008F273A"/>
    <w:rsid w:val="008F2C53"/>
    <w:rsid w:val="008F2DCA"/>
    <w:rsid w:val="008F345C"/>
    <w:rsid w:val="008F37FC"/>
    <w:rsid w:val="008F3AB4"/>
    <w:rsid w:val="008F45DF"/>
    <w:rsid w:val="008F4C67"/>
    <w:rsid w:val="008F611F"/>
    <w:rsid w:val="008F6223"/>
    <w:rsid w:val="008F6438"/>
    <w:rsid w:val="008F6CAC"/>
    <w:rsid w:val="008F7BF6"/>
    <w:rsid w:val="00900273"/>
    <w:rsid w:val="0090052B"/>
    <w:rsid w:val="009007D4"/>
    <w:rsid w:val="00900DCE"/>
    <w:rsid w:val="0090221B"/>
    <w:rsid w:val="00902526"/>
    <w:rsid w:val="0090298F"/>
    <w:rsid w:val="00902B3F"/>
    <w:rsid w:val="0090311A"/>
    <w:rsid w:val="00903803"/>
    <w:rsid w:val="00903967"/>
    <w:rsid w:val="00903EAD"/>
    <w:rsid w:val="00903F6E"/>
    <w:rsid w:val="00905048"/>
    <w:rsid w:val="0090548F"/>
    <w:rsid w:val="00906288"/>
    <w:rsid w:val="00906409"/>
    <w:rsid w:val="009064A1"/>
    <w:rsid w:val="00906D2E"/>
    <w:rsid w:val="0090775E"/>
    <w:rsid w:val="009102E0"/>
    <w:rsid w:val="00910C88"/>
    <w:rsid w:val="00911187"/>
    <w:rsid w:val="0091164B"/>
    <w:rsid w:val="00911693"/>
    <w:rsid w:val="00911EDF"/>
    <w:rsid w:val="009121DB"/>
    <w:rsid w:val="009124D3"/>
    <w:rsid w:val="009130FF"/>
    <w:rsid w:val="009136C8"/>
    <w:rsid w:val="0091393F"/>
    <w:rsid w:val="0091408C"/>
    <w:rsid w:val="00915394"/>
    <w:rsid w:val="009157C7"/>
    <w:rsid w:val="009161A0"/>
    <w:rsid w:val="009161FE"/>
    <w:rsid w:val="00917660"/>
    <w:rsid w:val="00917AAB"/>
    <w:rsid w:val="00917CA9"/>
    <w:rsid w:val="00920B21"/>
    <w:rsid w:val="00920E10"/>
    <w:rsid w:val="00920E87"/>
    <w:rsid w:val="009215D9"/>
    <w:rsid w:val="00922317"/>
    <w:rsid w:val="00923058"/>
    <w:rsid w:val="009233C0"/>
    <w:rsid w:val="009238CE"/>
    <w:rsid w:val="00925D64"/>
    <w:rsid w:val="009260A2"/>
    <w:rsid w:val="00926659"/>
    <w:rsid w:val="00926C7E"/>
    <w:rsid w:val="00926D9D"/>
    <w:rsid w:val="00926FD3"/>
    <w:rsid w:val="009272D8"/>
    <w:rsid w:val="0092756A"/>
    <w:rsid w:val="009307CE"/>
    <w:rsid w:val="00930C17"/>
    <w:rsid w:val="00930D81"/>
    <w:rsid w:val="009325E3"/>
    <w:rsid w:val="00932B02"/>
    <w:rsid w:val="009338AB"/>
    <w:rsid w:val="00933AB9"/>
    <w:rsid w:val="00933C10"/>
    <w:rsid w:val="00933CDA"/>
    <w:rsid w:val="00933FA4"/>
    <w:rsid w:val="009345D2"/>
    <w:rsid w:val="0093497E"/>
    <w:rsid w:val="00934E84"/>
    <w:rsid w:val="009362FE"/>
    <w:rsid w:val="00936F79"/>
    <w:rsid w:val="009372A4"/>
    <w:rsid w:val="0094037D"/>
    <w:rsid w:val="00940CB6"/>
    <w:rsid w:val="00941488"/>
    <w:rsid w:val="00943A2D"/>
    <w:rsid w:val="00943DDF"/>
    <w:rsid w:val="00943FA5"/>
    <w:rsid w:val="0094413B"/>
    <w:rsid w:val="009441CE"/>
    <w:rsid w:val="00944987"/>
    <w:rsid w:val="00944C64"/>
    <w:rsid w:val="00944DA3"/>
    <w:rsid w:val="0094554D"/>
    <w:rsid w:val="009457BD"/>
    <w:rsid w:val="00945E40"/>
    <w:rsid w:val="00946D44"/>
    <w:rsid w:val="00947361"/>
    <w:rsid w:val="009503D8"/>
    <w:rsid w:val="009503E9"/>
    <w:rsid w:val="00951204"/>
    <w:rsid w:val="009517DF"/>
    <w:rsid w:val="00951873"/>
    <w:rsid w:val="00951A62"/>
    <w:rsid w:val="00952B11"/>
    <w:rsid w:val="00952CCF"/>
    <w:rsid w:val="009532FB"/>
    <w:rsid w:val="00953BB9"/>
    <w:rsid w:val="009547C8"/>
    <w:rsid w:val="00954E92"/>
    <w:rsid w:val="00954F61"/>
    <w:rsid w:val="00955142"/>
    <w:rsid w:val="00955257"/>
    <w:rsid w:val="00955795"/>
    <w:rsid w:val="00955AED"/>
    <w:rsid w:val="0095625D"/>
    <w:rsid w:val="00956420"/>
    <w:rsid w:val="009574E1"/>
    <w:rsid w:val="009574F7"/>
    <w:rsid w:val="009578DB"/>
    <w:rsid w:val="00957D00"/>
    <w:rsid w:val="00957D9A"/>
    <w:rsid w:val="00957E58"/>
    <w:rsid w:val="0096010A"/>
    <w:rsid w:val="009610DF"/>
    <w:rsid w:val="00961162"/>
    <w:rsid w:val="00962AA3"/>
    <w:rsid w:val="00962B5D"/>
    <w:rsid w:val="00963119"/>
    <w:rsid w:val="00963777"/>
    <w:rsid w:val="0096429F"/>
    <w:rsid w:val="009651DB"/>
    <w:rsid w:val="00965444"/>
    <w:rsid w:val="00965F43"/>
    <w:rsid w:val="0096637F"/>
    <w:rsid w:val="0096684C"/>
    <w:rsid w:val="009668F1"/>
    <w:rsid w:val="00967273"/>
    <w:rsid w:val="0096728E"/>
    <w:rsid w:val="00967559"/>
    <w:rsid w:val="00970220"/>
    <w:rsid w:val="009706EA"/>
    <w:rsid w:val="009709C3"/>
    <w:rsid w:val="0097157D"/>
    <w:rsid w:val="009716C7"/>
    <w:rsid w:val="0097190B"/>
    <w:rsid w:val="00971EF9"/>
    <w:rsid w:val="00971F9A"/>
    <w:rsid w:val="009720B4"/>
    <w:rsid w:val="0097228B"/>
    <w:rsid w:val="009726B4"/>
    <w:rsid w:val="00972749"/>
    <w:rsid w:val="00972D30"/>
    <w:rsid w:val="00972F13"/>
    <w:rsid w:val="009731F1"/>
    <w:rsid w:val="009732C2"/>
    <w:rsid w:val="0097365F"/>
    <w:rsid w:val="00973EDB"/>
    <w:rsid w:val="00974EB4"/>
    <w:rsid w:val="009752E9"/>
    <w:rsid w:val="00975751"/>
    <w:rsid w:val="0097695A"/>
    <w:rsid w:val="0097714D"/>
    <w:rsid w:val="00977F7C"/>
    <w:rsid w:val="009803E2"/>
    <w:rsid w:val="00980BE5"/>
    <w:rsid w:val="00980D18"/>
    <w:rsid w:val="00980F8E"/>
    <w:rsid w:val="00981148"/>
    <w:rsid w:val="00981377"/>
    <w:rsid w:val="009815A9"/>
    <w:rsid w:val="009818F3"/>
    <w:rsid w:val="00981C96"/>
    <w:rsid w:val="00981F8E"/>
    <w:rsid w:val="009828A9"/>
    <w:rsid w:val="00985C57"/>
    <w:rsid w:val="00987E27"/>
    <w:rsid w:val="009902C8"/>
    <w:rsid w:val="009904A6"/>
    <w:rsid w:val="00990DBE"/>
    <w:rsid w:val="0099104E"/>
    <w:rsid w:val="0099222E"/>
    <w:rsid w:val="0099361C"/>
    <w:rsid w:val="00993785"/>
    <w:rsid w:val="0099409E"/>
    <w:rsid w:val="00994C17"/>
    <w:rsid w:val="00994EF4"/>
    <w:rsid w:val="009967CB"/>
    <w:rsid w:val="009975A9"/>
    <w:rsid w:val="0099784F"/>
    <w:rsid w:val="00997A97"/>
    <w:rsid w:val="00997D37"/>
    <w:rsid w:val="00997F48"/>
    <w:rsid w:val="009A0512"/>
    <w:rsid w:val="009A0726"/>
    <w:rsid w:val="009A09C4"/>
    <w:rsid w:val="009A13C0"/>
    <w:rsid w:val="009A1F58"/>
    <w:rsid w:val="009A2000"/>
    <w:rsid w:val="009A21C1"/>
    <w:rsid w:val="009A251D"/>
    <w:rsid w:val="009A2A4F"/>
    <w:rsid w:val="009A39FA"/>
    <w:rsid w:val="009A3A07"/>
    <w:rsid w:val="009A4CF4"/>
    <w:rsid w:val="009A4EC0"/>
    <w:rsid w:val="009A5201"/>
    <w:rsid w:val="009A5754"/>
    <w:rsid w:val="009A5B1D"/>
    <w:rsid w:val="009A6099"/>
    <w:rsid w:val="009A60D6"/>
    <w:rsid w:val="009A6714"/>
    <w:rsid w:val="009A6946"/>
    <w:rsid w:val="009A711F"/>
    <w:rsid w:val="009A7BB8"/>
    <w:rsid w:val="009B095A"/>
    <w:rsid w:val="009B0E7F"/>
    <w:rsid w:val="009B0FFE"/>
    <w:rsid w:val="009B1368"/>
    <w:rsid w:val="009B1684"/>
    <w:rsid w:val="009B228A"/>
    <w:rsid w:val="009B29BF"/>
    <w:rsid w:val="009B3DFB"/>
    <w:rsid w:val="009B3EFF"/>
    <w:rsid w:val="009B422A"/>
    <w:rsid w:val="009B425E"/>
    <w:rsid w:val="009B43A4"/>
    <w:rsid w:val="009B453C"/>
    <w:rsid w:val="009B4B62"/>
    <w:rsid w:val="009B4E38"/>
    <w:rsid w:val="009B50B9"/>
    <w:rsid w:val="009B5CC9"/>
    <w:rsid w:val="009B6022"/>
    <w:rsid w:val="009B69E7"/>
    <w:rsid w:val="009B7E4A"/>
    <w:rsid w:val="009C01AD"/>
    <w:rsid w:val="009C12CC"/>
    <w:rsid w:val="009C193A"/>
    <w:rsid w:val="009C27F8"/>
    <w:rsid w:val="009C30AC"/>
    <w:rsid w:val="009C31F5"/>
    <w:rsid w:val="009C5536"/>
    <w:rsid w:val="009C6C23"/>
    <w:rsid w:val="009C7C22"/>
    <w:rsid w:val="009C7FD0"/>
    <w:rsid w:val="009D0DAE"/>
    <w:rsid w:val="009D1B75"/>
    <w:rsid w:val="009D2E31"/>
    <w:rsid w:val="009D352C"/>
    <w:rsid w:val="009D3C66"/>
    <w:rsid w:val="009D4A1E"/>
    <w:rsid w:val="009D4F9B"/>
    <w:rsid w:val="009D55BE"/>
    <w:rsid w:val="009D5F45"/>
    <w:rsid w:val="009D6058"/>
    <w:rsid w:val="009D63AA"/>
    <w:rsid w:val="009D7753"/>
    <w:rsid w:val="009E007E"/>
    <w:rsid w:val="009E0501"/>
    <w:rsid w:val="009E0ADA"/>
    <w:rsid w:val="009E0CFE"/>
    <w:rsid w:val="009E0EE8"/>
    <w:rsid w:val="009E0F4A"/>
    <w:rsid w:val="009E1218"/>
    <w:rsid w:val="009E168B"/>
    <w:rsid w:val="009E1870"/>
    <w:rsid w:val="009E2783"/>
    <w:rsid w:val="009E380B"/>
    <w:rsid w:val="009E3849"/>
    <w:rsid w:val="009E3C44"/>
    <w:rsid w:val="009E4C19"/>
    <w:rsid w:val="009E4D7B"/>
    <w:rsid w:val="009E4F1F"/>
    <w:rsid w:val="009E5D8B"/>
    <w:rsid w:val="009E6E55"/>
    <w:rsid w:val="009F0CDB"/>
    <w:rsid w:val="009F1699"/>
    <w:rsid w:val="009F16E5"/>
    <w:rsid w:val="009F1BBC"/>
    <w:rsid w:val="009F1EC3"/>
    <w:rsid w:val="009F2042"/>
    <w:rsid w:val="009F2301"/>
    <w:rsid w:val="009F2C64"/>
    <w:rsid w:val="009F345B"/>
    <w:rsid w:val="009F4042"/>
    <w:rsid w:val="009F42C7"/>
    <w:rsid w:val="009F472C"/>
    <w:rsid w:val="009F5108"/>
    <w:rsid w:val="009F526F"/>
    <w:rsid w:val="009F5EFD"/>
    <w:rsid w:val="009F71B3"/>
    <w:rsid w:val="009F7C90"/>
    <w:rsid w:val="00A009D0"/>
    <w:rsid w:val="00A01C22"/>
    <w:rsid w:val="00A01FDA"/>
    <w:rsid w:val="00A023B8"/>
    <w:rsid w:val="00A0251D"/>
    <w:rsid w:val="00A02B95"/>
    <w:rsid w:val="00A02BEB"/>
    <w:rsid w:val="00A02DEE"/>
    <w:rsid w:val="00A0333D"/>
    <w:rsid w:val="00A047DF"/>
    <w:rsid w:val="00A047F8"/>
    <w:rsid w:val="00A0482A"/>
    <w:rsid w:val="00A050AE"/>
    <w:rsid w:val="00A055DE"/>
    <w:rsid w:val="00A058A4"/>
    <w:rsid w:val="00A05A4B"/>
    <w:rsid w:val="00A05BD0"/>
    <w:rsid w:val="00A05D75"/>
    <w:rsid w:val="00A0632E"/>
    <w:rsid w:val="00A0670B"/>
    <w:rsid w:val="00A07293"/>
    <w:rsid w:val="00A07B7C"/>
    <w:rsid w:val="00A07B9B"/>
    <w:rsid w:val="00A10428"/>
    <w:rsid w:val="00A10CCF"/>
    <w:rsid w:val="00A11193"/>
    <w:rsid w:val="00A13469"/>
    <w:rsid w:val="00A13869"/>
    <w:rsid w:val="00A14695"/>
    <w:rsid w:val="00A14810"/>
    <w:rsid w:val="00A148A0"/>
    <w:rsid w:val="00A14E3C"/>
    <w:rsid w:val="00A15643"/>
    <w:rsid w:val="00A15B6A"/>
    <w:rsid w:val="00A16D37"/>
    <w:rsid w:val="00A16E57"/>
    <w:rsid w:val="00A17307"/>
    <w:rsid w:val="00A20A6C"/>
    <w:rsid w:val="00A21C9B"/>
    <w:rsid w:val="00A21FAC"/>
    <w:rsid w:val="00A2255C"/>
    <w:rsid w:val="00A22915"/>
    <w:rsid w:val="00A2296F"/>
    <w:rsid w:val="00A22D0F"/>
    <w:rsid w:val="00A22DDC"/>
    <w:rsid w:val="00A23634"/>
    <w:rsid w:val="00A237C5"/>
    <w:rsid w:val="00A238BD"/>
    <w:rsid w:val="00A23C56"/>
    <w:rsid w:val="00A23C71"/>
    <w:rsid w:val="00A2427C"/>
    <w:rsid w:val="00A248B0"/>
    <w:rsid w:val="00A248FC"/>
    <w:rsid w:val="00A24F26"/>
    <w:rsid w:val="00A25994"/>
    <w:rsid w:val="00A25CE7"/>
    <w:rsid w:val="00A264AB"/>
    <w:rsid w:val="00A2692A"/>
    <w:rsid w:val="00A3164F"/>
    <w:rsid w:val="00A31704"/>
    <w:rsid w:val="00A3292C"/>
    <w:rsid w:val="00A32ACF"/>
    <w:rsid w:val="00A336C2"/>
    <w:rsid w:val="00A34609"/>
    <w:rsid w:val="00A3486A"/>
    <w:rsid w:val="00A349DB"/>
    <w:rsid w:val="00A35247"/>
    <w:rsid w:val="00A35358"/>
    <w:rsid w:val="00A3536D"/>
    <w:rsid w:val="00A35FBC"/>
    <w:rsid w:val="00A3609C"/>
    <w:rsid w:val="00A361FE"/>
    <w:rsid w:val="00A36CAC"/>
    <w:rsid w:val="00A3705C"/>
    <w:rsid w:val="00A37061"/>
    <w:rsid w:val="00A37C95"/>
    <w:rsid w:val="00A40C39"/>
    <w:rsid w:val="00A40DB0"/>
    <w:rsid w:val="00A412D2"/>
    <w:rsid w:val="00A428BF"/>
    <w:rsid w:val="00A42AB5"/>
    <w:rsid w:val="00A42CBC"/>
    <w:rsid w:val="00A436AC"/>
    <w:rsid w:val="00A43C8E"/>
    <w:rsid w:val="00A45C1B"/>
    <w:rsid w:val="00A45D4A"/>
    <w:rsid w:val="00A46403"/>
    <w:rsid w:val="00A46856"/>
    <w:rsid w:val="00A468FD"/>
    <w:rsid w:val="00A46C57"/>
    <w:rsid w:val="00A46C6E"/>
    <w:rsid w:val="00A4779C"/>
    <w:rsid w:val="00A509E7"/>
    <w:rsid w:val="00A51061"/>
    <w:rsid w:val="00A51B32"/>
    <w:rsid w:val="00A5242F"/>
    <w:rsid w:val="00A5370F"/>
    <w:rsid w:val="00A5383C"/>
    <w:rsid w:val="00A54086"/>
    <w:rsid w:val="00A54898"/>
    <w:rsid w:val="00A548CA"/>
    <w:rsid w:val="00A54900"/>
    <w:rsid w:val="00A55F47"/>
    <w:rsid w:val="00A56091"/>
    <w:rsid w:val="00A565B0"/>
    <w:rsid w:val="00A56D9D"/>
    <w:rsid w:val="00A57986"/>
    <w:rsid w:val="00A60418"/>
    <w:rsid w:val="00A60569"/>
    <w:rsid w:val="00A60E76"/>
    <w:rsid w:val="00A61F8E"/>
    <w:rsid w:val="00A625FE"/>
    <w:rsid w:val="00A6291C"/>
    <w:rsid w:val="00A63291"/>
    <w:rsid w:val="00A6344A"/>
    <w:rsid w:val="00A63AA0"/>
    <w:rsid w:val="00A63DF8"/>
    <w:rsid w:val="00A64220"/>
    <w:rsid w:val="00A64BD5"/>
    <w:rsid w:val="00A658C6"/>
    <w:rsid w:val="00A65C2B"/>
    <w:rsid w:val="00A664C9"/>
    <w:rsid w:val="00A66D0F"/>
    <w:rsid w:val="00A67696"/>
    <w:rsid w:val="00A678CE"/>
    <w:rsid w:val="00A67B45"/>
    <w:rsid w:val="00A67CC1"/>
    <w:rsid w:val="00A67EA1"/>
    <w:rsid w:val="00A7031C"/>
    <w:rsid w:val="00A70426"/>
    <w:rsid w:val="00A70AC2"/>
    <w:rsid w:val="00A710D2"/>
    <w:rsid w:val="00A71280"/>
    <w:rsid w:val="00A715A0"/>
    <w:rsid w:val="00A7216F"/>
    <w:rsid w:val="00A7263B"/>
    <w:rsid w:val="00A73163"/>
    <w:rsid w:val="00A73488"/>
    <w:rsid w:val="00A73609"/>
    <w:rsid w:val="00A73BC5"/>
    <w:rsid w:val="00A73DC9"/>
    <w:rsid w:val="00A7404D"/>
    <w:rsid w:val="00A754DF"/>
    <w:rsid w:val="00A75806"/>
    <w:rsid w:val="00A76353"/>
    <w:rsid w:val="00A80857"/>
    <w:rsid w:val="00A80AA8"/>
    <w:rsid w:val="00A80CE3"/>
    <w:rsid w:val="00A81446"/>
    <w:rsid w:val="00A819C3"/>
    <w:rsid w:val="00A81AA7"/>
    <w:rsid w:val="00A82036"/>
    <w:rsid w:val="00A822CD"/>
    <w:rsid w:val="00A82F42"/>
    <w:rsid w:val="00A82FA9"/>
    <w:rsid w:val="00A833C4"/>
    <w:rsid w:val="00A83948"/>
    <w:rsid w:val="00A83A9C"/>
    <w:rsid w:val="00A83F18"/>
    <w:rsid w:val="00A85668"/>
    <w:rsid w:val="00A8627D"/>
    <w:rsid w:val="00A869B1"/>
    <w:rsid w:val="00A869B6"/>
    <w:rsid w:val="00A86BF8"/>
    <w:rsid w:val="00A87058"/>
    <w:rsid w:val="00A87461"/>
    <w:rsid w:val="00A87A07"/>
    <w:rsid w:val="00A9134C"/>
    <w:rsid w:val="00A9199C"/>
    <w:rsid w:val="00A929DD"/>
    <w:rsid w:val="00A92DE8"/>
    <w:rsid w:val="00A9307C"/>
    <w:rsid w:val="00A93FBE"/>
    <w:rsid w:val="00A94052"/>
    <w:rsid w:val="00A94292"/>
    <w:rsid w:val="00A9440F"/>
    <w:rsid w:val="00A951E1"/>
    <w:rsid w:val="00A95630"/>
    <w:rsid w:val="00A95F15"/>
    <w:rsid w:val="00A96DFC"/>
    <w:rsid w:val="00A972F5"/>
    <w:rsid w:val="00A97361"/>
    <w:rsid w:val="00A97781"/>
    <w:rsid w:val="00A97C8D"/>
    <w:rsid w:val="00AA03C4"/>
    <w:rsid w:val="00AA042B"/>
    <w:rsid w:val="00AA0512"/>
    <w:rsid w:val="00AA091A"/>
    <w:rsid w:val="00AA0DB6"/>
    <w:rsid w:val="00AA1023"/>
    <w:rsid w:val="00AA10B2"/>
    <w:rsid w:val="00AA11A4"/>
    <w:rsid w:val="00AA19CD"/>
    <w:rsid w:val="00AA1C3C"/>
    <w:rsid w:val="00AA1DA1"/>
    <w:rsid w:val="00AA2CAB"/>
    <w:rsid w:val="00AA2E59"/>
    <w:rsid w:val="00AA2EF9"/>
    <w:rsid w:val="00AA3150"/>
    <w:rsid w:val="00AA3268"/>
    <w:rsid w:val="00AA3E39"/>
    <w:rsid w:val="00AA4A5B"/>
    <w:rsid w:val="00AA5C49"/>
    <w:rsid w:val="00AA5F7A"/>
    <w:rsid w:val="00AA75A0"/>
    <w:rsid w:val="00AB06B9"/>
    <w:rsid w:val="00AB0FE5"/>
    <w:rsid w:val="00AB2365"/>
    <w:rsid w:val="00AB24D1"/>
    <w:rsid w:val="00AB2C21"/>
    <w:rsid w:val="00AB3570"/>
    <w:rsid w:val="00AB3958"/>
    <w:rsid w:val="00AB3A6D"/>
    <w:rsid w:val="00AB4A45"/>
    <w:rsid w:val="00AB4C50"/>
    <w:rsid w:val="00AB4C91"/>
    <w:rsid w:val="00AB5AB6"/>
    <w:rsid w:val="00AB5DA7"/>
    <w:rsid w:val="00AB6587"/>
    <w:rsid w:val="00AB6C11"/>
    <w:rsid w:val="00AB71ED"/>
    <w:rsid w:val="00AB7453"/>
    <w:rsid w:val="00AB7B8C"/>
    <w:rsid w:val="00AB7CA7"/>
    <w:rsid w:val="00AB7D9B"/>
    <w:rsid w:val="00AC001D"/>
    <w:rsid w:val="00AC1032"/>
    <w:rsid w:val="00AC11DF"/>
    <w:rsid w:val="00AC281B"/>
    <w:rsid w:val="00AC2A28"/>
    <w:rsid w:val="00AC2A65"/>
    <w:rsid w:val="00AC2B07"/>
    <w:rsid w:val="00AC2EBB"/>
    <w:rsid w:val="00AC3B27"/>
    <w:rsid w:val="00AC3C00"/>
    <w:rsid w:val="00AC4520"/>
    <w:rsid w:val="00AC45E8"/>
    <w:rsid w:val="00AC4631"/>
    <w:rsid w:val="00AC49BB"/>
    <w:rsid w:val="00AC4AEB"/>
    <w:rsid w:val="00AC5527"/>
    <w:rsid w:val="00AC59AE"/>
    <w:rsid w:val="00AC631F"/>
    <w:rsid w:val="00AC6C17"/>
    <w:rsid w:val="00AC6E66"/>
    <w:rsid w:val="00AC6FBD"/>
    <w:rsid w:val="00AC70B1"/>
    <w:rsid w:val="00AD0529"/>
    <w:rsid w:val="00AD2181"/>
    <w:rsid w:val="00AD21D0"/>
    <w:rsid w:val="00AD22ED"/>
    <w:rsid w:val="00AD242E"/>
    <w:rsid w:val="00AD2865"/>
    <w:rsid w:val="00AD380E"/>
    <w:rsid w:val="00AD4006"/>
    <w:rsid w:val="00AD4140"/>
    <w:rsid w:val="00AD4503"/>
    <w:rsid w:val="00AD47D3"/>
    <w:rsid w:val="00AD571A"/>
    <w:rsid w:val="00AD6DEF"/>
    <w:rsid w:val="00AD70CE"/>
    <w:rsid w:val="00AD75E0"/>
    <w:rsid w:val="00AD77E9"/>
    <w:rsid w:val="00AE1253"/>
    <w:rsid w:val="00AE12A1"/>
    <w:rsid w:val="00AE1C6A"/>
    <w:rsid w:val="00AE20AD"/>
    <w:rsid w:val="00AE2117"/>
    <w:rsid w:val="00AE235E"/>
    <w:rsid w:val="00AE27C3"/>
    <w:rsid w:val="00AE283A"/>
    <w:rsid w:val="00AE2906"/>
    <w:rsid w:val="00AE3728"/>
    <w:rsid w:val="00AE38E3"/>
    <w:rsid w:val="00AE3A49"/>
    <w:rsid w:val="00AE48FB"/>
    <w:rsid w:val="00AE490B"/>
    <w:rsid w:val="00AE4A2E"/>
    <w:rsid w:val="00AE4B16"/>
    <w:rsid w:val="00AE57D0"/>
    <w:rsid w:val="00AE5A38"/>
    <w:rsid w:val="00AE5CD6"/>
    <w:rsid w:val="00AE5FC9"/>
    <w:rsid w:val="00AE6A74"/>
    <w:rsid w:val="00AE7AA8"/>
    <w:rsid w:val="00AE7D3C"/>
    <w:rsid w:val="00AF0151"/>
    <w:rsid w:val="00AF096A"/>
    <w:rsid w:val="00AF1A55"/>
    <w:rsid w:val="00AF1B68"/>
    <w:rsid w:val="00AF2C8F"/>
    <w:rsid w:val="00AF2CD5"/>
    <w:rsid w:val="00AF3283"/>
    <w:rsid w:val="00AF389B"/>
    <w:rsid w:val="00AF3A85"/>
    <w:rsid w:val="00AF3E12"/>
    <w:rsid w:val="00AF4017"/>
    <w:rsid w:val="00AF4318"/>
    <w:rsid w:val="00AF4BC6"/>
    <w:rsid w:val="00AF51E2"/>
    <w:rsid w:val="00AF59F4"/>
    <w:rsid w:val="00AF6093"/>
    <w:rsid w:val="00AF664D"/>
    <w:rsid w:val="00AF6E0E"/>
    <w:rsid w:val="00AF70DF"/>
    <w:rsid w:val="00B0049D"/>
    <w:rsid w:val="00B01D49"/>
    <w:rsid w:val="00B0246D"/>
    <w:rsid w:val="00B03064"/>
    <w:rsid w:val="00B0326F"/>
    <w:rsid w:val="00B032A1"/>
    <w:rsid w:val="00B03CC3"/>
    <w:rsid w:val="00B04356"/>
    <w:rsid w:val="00B04B45"/>
    <w:rsid w:val="00B04B70"/>
    <w:rsid w:val="00B04DC9"/>
    <w:rsid w:val="00B05454"/>
    <w:rsid w:val="00B05A6E"/>
    <w:rsid w:val="00B05B60"/>
    <w:rsid w:val="00B065D7"/>
    <w:rsid w:val="00B06705"/>
    <w:rsid w:val="00B1036D"/>
    <w:rsid w:val="00B11717"/>
    <w:rsid w:val="00B1171F"/>
    <w:rsid w:val="00B124DF"/>
    <w:rsid w:val="00B126E6"/>
    <w:rsid w:val="00B137B3"/>
    <w:rsid w:val="00B13A91"/>
    <w:rsid w:val="00B1450A"/>
    <w:rsid w:val="00B14F9B"/>
    <w:rsid w:val="00B15661"/>
    <w:rsid w:val="00B15763"/>
    <w:rsid w:val="00B15B22"/>
    <w:rsid w:val="00B15D3D"/>
    <w:rsid w:val="00B161A3"/>
    <w:rsid w:val="00B164B4"/>
    <w:rsid w:val="00B1675D"/>
    <w:rsid w:val="00B16A1D"/>
    <w:rsid w:val="00B16F0A"/>
    <w:rsid w:val="00B177AC"/>
    <w:rsid w:val="00B177E0"/>
    <w:rsid w:val="00B17A6B"/>
    <w:rsid w:val="00B17A70"/>
    <w:rsid w:val="00B17B7A"/>
    <w:rsid w:val="00B17C41"/>
    <w:rsid w:val="00B20366"/>
    <w:rsid w:val="00B204DC"/>
    <w:rsid w:val="00B21396"/>
    <w:rsid w:val="00B226C6"/>
    <w:rsid w:val="00B22BB1"/>
    <w:rsid w:val="00B22C51"/>
    <w:rsid w:val="00B23ECF"/>
    <w:rsid w:val="00B24110"/>
    <w:rsid w:val="00B24B8D"/>
    <w:rsid w:val="00B24CB3"/>
    <w:rsid w:val="00B24D3D"/>
    <w:rsid w:val="00B257DC"/>
    <w:rsid w:val="00B25A7B"/>
    <w:rsid w:val="00B25D87"/>
    <w:rsid w:val="00B26757"/>
    <w:rsid w:val="00B2690B"/>
    <w:rsid w:val="00B26F43"/>
    <w:rsid w:val="00B275A5"/>
    <w:rsid w:val="00B27A4C"/>
    <w:rsid w:val="00B27D07"/>
    <w:rsid w:val="00B27F5B"/>
    <w:rsid w:val="00B3018F"/>
    <w:rsid w:val="00B3066A"/>
    <w:rsid w:val="00B30C1C"/>
    <w:rsid w:val="00B31EFC"/>
    <w:rsid w:val="00B3279D"/>
    <w:rsid w:val="00B32A3A"/>
    <w:rsid w:val="00B32BC6"/>
    <w:rsid w:val="00B32D33"/>
    <w:rsid w:val="00B343F0"/>
    <w:rsid w:val="00B34CA7"/>
    <w:rsid w:val="00B3502D"/>
    <w:rsid w:val="00B3513B"/>
    <w:rsid w:val="00B35145"/>
    <w:rsid w:val="00B35E49"/>
    <w:rsid w:val="00B368F2"/>
    <w:rsid w:val="00B36C35"/>
    <w:rsid w:val="00B36E78"/>
    <w:rsid w:val="00B3707B"/>
    <w:rsid w:val="00B376A0"/>
    <w:rsid w:val="00B37E6C"/>
    <w:rsid w:val="00B401C4"/>
    <w:rsid w:val="00B40473"/>
    <w:rsid w:val="00B40A75"/>
    <w:rsid w:val="00B40F45"/>
    <w:rsid w:val="00B41080"/>
    <w:rsid w:val="00B4118A"/>
    <w:rsid w:val="00B4125D"/>
    <w:rsid w:val="00B42305"/>
    <w:rsid w:val="00B42CEC"/>
    <w:rsid w:val="00B42F6C"/>
    <w:rsid w:val="00B43EA3"/>
    <w:rsid w:val="00B447ED"/>
    <w:rsid w:val="00B44D94"/>
    <w:rsid w:val="00B462EE"/>
    <w:rsid w:val="00B4637A"/>
    <w:rsid w:val="00B46769"/>
    <w:rsid w:val="00B47B3A"/>
    <w:rsid w:val="00B50AF3"/>
    <w:rsid w:val="00B51047"/>
    <w:rsid w:val="00B511A2"/>
    <w:rsid w:val="00B51363"/>
    <w:rsid w:val="00B51AD7"/>
    <w:rsid w:val="00B52403"/>
    <w:rsid w:val="00B52616"/>
    <w:rsid w:val="00B52D84"/>
    <w:rsid w:val="00B5414C"/>
    <w:rsid w:val="00B542C3"/>
    <w:rsid w:val="00B54514"/>
    <w:rsid w:val="00B545C7"/>
    <w:rsid w:val="00B549C6"/>
    <w:rsid w:val="00B54D31"/>
    <w:rsid w:val="00B5562A"/>
    <w:rsid w:val="00B55FBC"/>
    <w:rsid w:val="00B563BC"/>
    <w:rsid w:val="00B56978"/>
    <w:rsid w:val="00B56B03"/>
    <w:rsid w:val="00B56CA3"/>
    <w:rsid w:val="00B57BDC"/>
    <w:rsid w:val="00B60BEF"/>
    <w:rsid w:val="00B60DD7"/>
    <w:rsid w:val="00B6117C"/>
    <w:rsid w:val="00B619A7"/>
    <w:rsid w:val="00B63784"/>
    <w:rsid w:val="00B63837"/>
    <w:rsid w:val="00B639D2"/>
    <w:rsid w:val="00B63A2A"/>
    <w:rsid w:val="00B63F79"/>
    <w:rsid w:val="00B64456"/>
    <w:rsid w:val="00B6463F"/>
    <w:rsid w:val="00B64ED9"/>
    <w:rsid w:val="00B65C2B"/>
    <w:rsid w:val="00B66344"/>
    <w:rsid w:val="00B66A8A"/>
    <w:rsid w:val="00B66C50"/>
    <w:rsid w:val="00B66F3F"/>
    <w:rsid w:val="00B67476"/>
    <w:rsid w:val="00B67AC8"/>
    <w:rsid w:val="00B70165"/>
    <w:rsid w:val="00B711CE"/>
    <w:rsid w:val="00B713C6"/>
    <w:rsid w:val="00B714EF"/>
    <w:rsid w:val="00B716A9"/>
    <w:rsid w:val="00B72256"/>
    <w:rsid w:val="00B729EE"/>
    <w:rsid w:val="00B72C42"/>
    <w:rsid w:val="00B72F04"/>
    <w:rsid w:val="00B739FF"/>
    <w:rsid w:val="00B73AFE"/>
    <w:rsid w:val="00B743E9"/>
    <w:rsid w:val="00B74ED8"/>
    <w:rsid w:val="00B753AF"/>
    <w:rsid w:val="00B7686D"/>
    <w:rsid w:val="00B76AAF"/>
    <w:rsid w:val="00B77039"/>
    <w:rsid w:val="00B77922"/>
    <w:rsid w:val="00B77947"/>
    <w:rsid w:val="00B77CF5"/>
    <w:rsid w:val="00B8005C"/>
    <w:rsid w:val="00B80DDD"/>
    <w:rsid w:val="00B8131E"/>
    <w:rsid w:val="00B814B8"/>
    <w:rsid w:val="00B8192B"/>
    <w:rsid w:val="00B81D67"/>
    <w:rsid w:val="00B82607"/>
    <w:rsid w:val="00B82B3F"/>
    <w:rsid w:val="00B8525B"/>
    <w:rsid w:val="00B857C8"/>
    <w:rsid w:val="00B8590C"/>
    <w:rsid w:val="00B85AB9"/>
    <w:rsid w:val="00B85B92"/>
    <w:rsid w:val="00B85E9F"/>
    <w:rsid w:val="00B86246"/>
    <w:rsid w:val="00B86442"/>
    <w:rsid w:val="00B86F57"/>
    <w:rsid w:val="00B86FD0"/>
    <w:rsid w:val="00B87202"/>
    <w:rsid w:val="00B878B1"/>
    <w:rsid w:val="00B90AD2"/>
    <w:rsid w:val="00B90D0E"/>
    <w:rsid w:val="00B911F4"/>
    <w:rsid w:val="00B91AF5"/>
    <w:rsid w:val="00B923A2"/>
    <w:rsid w:val="00B93239"/>
    <w:rsid w:val="00B93436"/>
    <w:rsid w:val="00B94259"/>
    <w:rsid w:val="00B949AC"/>
    <w:rsid w:val="00B94D32"/>
    <w:rsid w:val="00B972C8"/>
    <w:rsid w:val="00B97C2B"/>
    <w:rsid w:val="00BA1130"/>
    <w:rsid w:val="00BA2B8F"/>
    <w:rsid w:val="00BA3436"/>
    <w:rsid w:val="00BA42B0"/>
    <w:rsid w:val="00BA4E4C"/>
    <w:rsid w:val="00BA507A"/>
    <w:rsid w:val="00BA58AD"/>
    <w:rsid w:val="00BA5939"/>
    <w:rsid w:val="00BA5A5F"/>
    <w:rsid w:val="00BA66C7"/>
    <w:rsid w:val="00BA6A8F"/>
    <w:rsid w:val="00BA7E75"/>
    <w:rsid w:val="00BB0058"/>
    <w:rsid w:val="00BB00B5"/>
    <w:rsid w:val="00BB27C0"/>
    <w:rsid w:val="00BB2C32"/>
    <w:rsid w:val="00BB3734"/>
    <w:rsid w:val="00BB51E0"/>
    <w:rsid w:val="00BB56A8"/>
    <w:rsid w:val="00BB5BE7"/>
    <w:rsid w:val="00BB60A7"/>
    <w:rsid w:val="00BB6D4A"/>
    <w:rsid w:val="00BB7C38"/>
    <w:rsid w:val="00BC0568"/>
    <w:rsid w:val="00BC1636"/>
    <w:rsid w:val="00BC1E2F"/>
    <w:rsid w:val="00BC2046"/>
    <w:rsid w:val="00BC306A"/>
    <w:rsid w:val="00BC4397"/>
    <w:rsid w:val="00BC47DC"/>
    <w:rsid w:val="00BC58C1"/>
    <w:rsid w:val="00BC636E"/>
    <w:rsid w:val="00BC65A7"/>
    <w:rsid w:val="00BC6FF1"/>
    <w:rsid w:val="00BD00A0"/>
    <w:rsid w:val="00BD05B9"/>
    <w:rsid w:val="00BD2C8A"/>
    <w:rsid w:val="00BD2E74"/>
    <w:rsid w:val="00BD48E4"/>
    <w:rsid w:val="00BD4BC8"/>
    <w:rsid w:val="00BD4EDB"/>
    <w:rsid w:val="00BD52FA"/>
    <w:rsid w:val="00BD5D80"/>
    <w:rsid w:val="00BD6094"/>
    <w:rsid w:val="00BD6165"/>
    <w:rsid w:val="00BD659D"/>
    <w:rsid w:val="00BD67F4"/>
    <w:rsid w:val="00BD69F8"/>
    <w:rsid w:val="00BD6F17"/>
    <w:rsid w:val="00BD7AB8"/>
    <w:rsid w:val="00BE0300"/>
    <w:rsid w:val="00BE06FC"/>
    <w:rsid w:val="00BE107E"/>
    <w:rsid w:val="00BE13DF"/>
    <w:rsid w:val="00BE1F69"/>
    <w:rsid w:val="00BE2095"/>
    <w:rsid w:val="00BE215B"/>
    <w:rsid w:val="00BE29B5"/>
    <w:rsid w:val="00BE2F14"/>
    <w:rsid w:val="00BE308B"/>
    <w:rsid w:val="00BE38A3"/>
    <w:rsid w:val="00BE3F46"/>
    <w:rsid w:val="00BE3FF8"/>
    <w:rsid w:val="00BE404B"/>
    <w:rsid w:val="00BE4280"/>
    <w:rsid w:val="00BE4856"/>
    <w:rsid w:val="00BE4E33"/>
    <w:rsid w:val="00BE52F7"/>
    <w:rsid w:val="00BE5905"/>
    <w:rsid w:val="00BE5A2D"/>
    <w:rsid w:val="00BE6B36"/>
    <w:rsid w:val="00BE7B41"/>
    <w:rsid w:val="00BE7B82"/>
    <w:rsid w:val="00BF0BC6"/>
    <w:rsid w:val="00BF19D2"/>
    <w:rsid w:val="00BF2089"/>
    <w:rsid w:val="00BF28F4"/>
    <w:rsid w:val="00BF29A3"/>
    <w:rsid w:val="00BF2CE0"/>
    <w:rsid w:val="00BF340C"/>
    <w:rsid w:val="00BF3B2C"/>
    <w:rsid w:val="00BF3BC9"/>
    <w:rsid w:val="00BF3F72"/>
    <w:rsid w:val="00BF4415"/>
    <w:rsid w:val="00BF5F6A"/>
    <w:rsid w:val="00BF6807"/>
    <w:rsid w:val="00BF69A7"/>
    <w:rsid w:val="00BF6BE9"/>
    <w:rsid w:val="00BF7181"/>
    <w:rsid w:val="00BF7389"/>
    <w:rsid w:val="00BF7789"/>
    <w:rsid w:val="00C007B5"/>
    <w:rsid w:val="00C0133D"/>
    <w:rsid w:val="00C014FB"/>
    <w:rsid w:val="00C01836"/>
    <w:rsid w:val="00C0229B"/>
    <w:rsid w:val="00C024A6"/>
    <w:rsid w:val="00C02B8F"/>
    <w:rsid w:val="00C035E4"/>
    <w:rsid w:val="00C0378C"/>
    <w:rsid w:val="00C04068"/>
    <w:rsid w:val="00C043D0"/>
    <w:rsid w:val="00C0460A"/>
    <w:rsid w:val="00C0569F"/>
    <w:rsid w:val="00C05A38"/>
    <w:rsid w:val="00C05C5B"/>
    <w:rsid w:val="00C05E27"/>
    <w:rsid w:val="00C05E46"/>
    <w:rsid w:val="00C05FEE"/>
    <w:rsid w:val="00C061ED"/>
    <w:rsid w:val="00C063ED"/>
    <w:rsid w:val="00C06DDC"/>
    <w:rsid w:val="00C06E08"/>
    <w:rsid w:val="00C06F3F"/>
    <w:rsid w:val="00C06F68"/>
    <w:rsid w:val="00C072F9"/>
    <w:rsid w:val="00C07B90"/>
    <w:rsid w:val="00C07DA4"/>
    <w:rsid w:val="00C07E95"/>
    <w:rsid w:val="00C10AD0"/>
    <w:rsid w:val="00C10AD3"/>
    <w:rsid w:val="00C10AF5"/>
    <w:rsid w:val="00C10B52"/>
    <w:rsid w:val="00C10BFB"/>
    <w:rsid w:val="00C11082"/>
    <w:rsid w:val="00C112D1"/>
    <w:rsid w:val="00C121B9"/>
    <w:rsid w:val="00C121F8"/>
    <w:rsid w:val="00C13F8D"/>
    <w:rsid w:val="00C14662"/>
    <w:rsid w:val="00C15B3B"/>
    <w:rsid w:val="00C15CD3"/>
    <w:rsid w:val="00C15D06"/>
    <w:rsid w:val="00C1622F"/>
    <w:rsid w:val="00C17C41"/>
    <w:rsid w:val="00C17C89"/>
    <w:rsid w:val="00C20887"/>
    <w:rsid w:val="00C20C16"/>
    <w:rsid w:val="00C2111A"/>
    <w:rsid w:val="00C2151F"/>
    <w:rsid w:val="00C224FC"/>
    <w:rsid w:val="00C225D2"/>
    <w:rsid w:val="00C22AFE"/>
    <w:rsid w:val="00C22EC4"/>
    <w:rsid w:val="00C23A41"/>
    <w:rsid w:val="00C23C01"/>
    <w:rsid w:val="00C24068"/>
    <w:rsid w:val="00C2444B"/>
    <w:rsid w:val="00C24640"/>
    <w:rsid w:val="00C24927"/>
    <w:rsid w:val="00C24BDA"/>
    <w:rsid w:val="00C24E2B"/>
    <w:rsid w:val="00C24E9B"/>
    <w:rsid w:val="00C26CC8"/>
    <w:rsid w:val="00C26DB6"/>
    <w:rsid w:val="00C2753E"/>
    <w:rsid w:val="00C278E7"/>
    <w:rsid w:val="00C27967"/>
    <w:rsid w:val="00C27AF7"/>
    <w:rsid w:val="00C27B7B"/>
    <w:rsid w:val="00C27ED1"/>
    <w:rsid w:val="00C30905"/>
    <w:rsid w:val="00C30A69"/>
    <w:rsid w:val="00C313D4"/>
    <w:rsid w:val="00C32955"/>
    <w:rsid w:val="00C33A9E"/>
    <w:rsid w:val="00C33F5C"/>
    <w:rsid w:val="00C34607"/>
    <w:rsid w:val="00C35688"/>
    <w:rsid w:val="00C356D5"/>
    <w:rsid w:val="00C35814"/>
    <w:rsid w:val="00C3641E"/>
    <w:rsid w:val="00C420EF"/>
    <w:rsid w:val="00C428B9"/>
    <w:rsid w:val="00C42E72"/>
    <w:rsid w:val="00C43474"/>
    <w:rsid w:val="00C43D71"/>
    <w:rsid w:val="00C44D68"/>
    <w:rsid w:val="00C45349"/>
    <w:rsid w:val="00C459E9"/>
    <w:rsid w:val="00C45FAD"/>
    <w:rsid w:val="00C46208"/>
    <w:rsid w:val="00C462A7"/>
    <w:rsid w:val="00C46B36"/>
    <w:rsid w:val="00C474AE"/>
    <w:rsid w:val="00C479B2"/>
    <w:rsid w:val="00C50B3C"/>
    <w:rsid w:val="00C512A1"/>
    <w:rsid w:val="00C514D9"/>
    <w:rsid w:val="00C520A7"/>
    <w:rsid w:val="00C52442"/>
    <w:rsid w:val="00C53D29"/>
    <w:rsid w:val="00C54A86"/>
    <w:rsid w:val="00C54CF9"/>
    <w:rsid w:val="00C562AC"/>
    <w:rsid w:val="00C563A3"/>
    <w:rsid w:val="00C56598"/>
    <w:rsid w:val="00C56FFB"/>
    <w:rsid w:val="00C57113"/>
    <w:rsid w:val="00C574C1"/>
    <w:rsid w:val="00C57870"/>
    <w:rsid w:val="00C60006"/>
    <w:rsid w:val="00C602DF"/>
    <w:rsid w:val="00C613DA"/>
    <w:rsid w:val="00C61CFC"/>
    <w:rsid w:val="00C61DC3"/>
    <w:rsid w:val="00C61F97"/>
    <w:rsid w:val="00C63080"/>
    <w:rsid w:val="00C6351D"/>
    <w:rsid w:val="00C6392B"/>
    <w:rsid w:val="00C64C69"/>
    <w:rsid w:val="00C654B0"/>
    <w:rsid w:val="00C6615E"/>
    <w:rsid w:val="00C67D85"/>
    <w:rsid w:val="00C706F4"/>
    <w:rsid w:val="00C71D4B"/>
    <w:rsid w:val="00C724B9"/>
    <w:rsid w:val="00C73254"/>
    <w:rsid w:val="00C7352B"/>
    <w:rsid w:val="00C743B1"/>
    <w:rsid w:val="00C7476C"/>
    <w:rsid w:val="00C74951"/>
    <w:rsid w:val="00C74B8E"/>
    <w:rsid w:val="00C75756"/>
    <w:rsid w:val="00C779A1"/>
    <w:rsid w:val="00C77EF2"/>
    <w:rsid w:val="00C80320"/>
    <w:rsid w:val="00C80DDF"/>
    <w:rsid w:val="00C80E84"/>
    <w:rsid w:val="00C8157B"/>
    <w:rsid w:val="00C817C1"/>
    <w:rsid w:val="00C81BC4"/>
    <w:rsid w:val="00C81F9B"/>
    <w:rsid w:val="00C82B75"/>
    <w:rsid w:val="00C83114"/>
    <w:rsid w:val="00C83599"/>
    <w:rsid w:val="00C83645"/>
    <w:rsid w:val="00C849D2"/>
    <w:rsid w:val="00C84F6E"/>
    <w:rsid w:val="00C854B9"/>
    <w:rsid w:val="00C856EF"/>
    <w:rsid w:val="00C87496"/>
    <w:rsid w:val="00C8755F"/>
    <w:rsid w:val="00C8762E"/>
    <w:rsid w:val="00C87A86"/>
    <w:rsid w:val="00C87C82"/>
    <w:rsid w:val="00C9161E"/>
    <w:rsid w:val="00C9168F"/>
    <w:rsid w:val="00C91C09"/>
    <w:rsid w:val="00C91E8C"/>
    <w:rsid w:val="00C9273D"/>
    <w:rsid w:val="00C92F82"/>
    <w:rsid w:val="00C93342"/>
    <w:rsid w:val="00C93700"/>
    <w:rsid w:val="00C93E6A"/>
    <w:rsid w:val="00C9448E"/>
    <w:rsid w:val="00C9456A"/>
    <w:rsid w:val="00C94D30"/>
    <w:rsid w:val="00C94D78"/>
    <w:rsid w:val="00C94D98"/>
    <w:rsid w:val="00C95246"/>
    <w:rsid w:val="00C9551B"/>
    <w:rsid w:val="00C958ED"/>
    <w:rsid w:val="00C95E0D"/>
    <w:rsid w:val="00C96582"/>
    <w:rsid w:val="00C967A3"/>
    <w:rsid w:val="00C97A74"/>
    <w:rsid w:val="00CA0531"/>
    <w:rsid w:val="00CA1874"/>
    <w:rsid w:val="00CA1D18"/>
    <w:rsid w:val="00CA2D83"/>
    <w:rsid w:val="00CA3DC5"/>
    <w:rsid w:val="00CA3E2C"/>
    <w:rsid w:val="00CA4133"/>
    <w:rsid w:val="00CA419A"/>
    <w:rsid w:val="00CA4668"/>
    <w:rsid w:val="00CA6AF2"/>
    <w:rsid w:val="00CA6C49"/>
    <w:rsid w:val="00CA6F6D"/>
    <w:rsid w:val="00CA7BF4"/>
    <w:rsid w:val="00CA7D28"/>
    <w:rsid w:val="00CA7E0D"/>
    <w:rsid w:val="00CA7F69"/>
    <w:rsid w:val="00CB0374"/>
    <w:rsid w:val="00CB0486"/>
    <w:rsid w:val="00CB2082"/>
    <w:rsid w:val="00CB239D"/>
    <w:rsid w:val="00CB2F97"/>
    <w:rsid w:val="00CB31ED"/>
    <w:rsid w:val="00CB44BE"/>
    <w:rsid w:val="00CB4992"/>
    <w:rsid w:val="00CB592C"/>
    <w:rsid w:val="00CB7536"/>
    <w:rsid w:val="00CC06BE"/>
    <w:rsid w:val="00CC0993"/>
    <w:rsid w:val="00CC0E17"/>
    <w:rsid w:val="00CC17A3"/>
    <w:rsid w:val="00CC1855"/>
    <w:rsid w:val="00CC2A45"/>
    <w:rsid w:val="00CC3829"/>
    <w:rsid w:val="00CC3D5A"/>
    <w:rsid w:val="00CC6689"/>
    <w:rsid w:val="00CC6AE7"/>
    <w:rsid w:val="00CD0288"/>
    <w:rsid w:val="00CD08DE"/>
    <w:rsid w:val="00CD10B3"/>
    <w:rsid w:val="00CD1531"/>
    <w:rsid w:val="00CD156C"/>
    <w:rsid w:val="00CD1C3A"/>
    <w:rsid w:val="00CD1D12"/>
    <w:rsid w:val="00CD27A9"/>
    <w:rsid w:val="00CD2DA9"/>
    <w:rsid w:val="00CD2DBA"/>
    <w:rsid w:val="00CD3075"/>
    <w:rsid w:val="00CD32D6"/>
    <w:rsid w:val="00CD412A"/>
    <w:rsid w:val="00CD41BF"/>
    <w:rsid w:val="00CD4CE8"/>
    <w:rsid w:val="00CD614F"/>
    <w:rsid w:val="00CD76DB"/>
    <w:rsid w:val="00CD7B9C"/>
    <w:rsid w:val="00CD7F17"/>
    <w:rsid w:val="00CE23EF"/>
    <w:rsid w:val="00CE31CB"/>
    <w:rsid w:val="00CE3B1B"/>
    <w:rsid w:val="00CE5E27"/>
    <w:rsid w:val="00CE6185"/>
    <w:rsid w:val="00CE6725"/>
    <w:rsid w:val="00CE6A78"/>
    <w:rsid w:val="00CE70ED"/>
    <w:rsid w:val="00CE78F0"/>
    <w:rsid w:val="00CE7A22"/>
    <w:rsid w:val="00CE7B8D"/>
    <w:rsid w:val="00CF0178"/>
    <w:rsid w:val="00CF07BD"/>
    <w:rsid w:val="00CF07E1"/>
    <w:rsid w:val="00CF10BF"/>
    <w:rsid w:val="00CF1243"/>
    <w:rsid w:val="00CF22D1"/>
    <w:rsid w:val="00CF2809"/>
    <w:rsid w:val="00CF287F"/>
    <w:rsid w:val="00CF3B69"/>
    <w:rsid w:val="00CF5E74"/>
    <w:rsid w:val="00CF7509"/>
    <w:rsid w:val="00CF75E8"/>
    <w:rsid w:val="00CF7BED"/>
    <w:rsid w:val="00D003C0"/>
    <w:rsid w:val="00D0363D"/>
    <w:rsid w:val="00D03815"/>
    <w:rsid w:val="00D04158"/>
    <w:rsid w:val="00D04C76"/>
    <w:rsid w:val="00D05016"/>
    <w:rsid w:val="00D05078"/>
    <w:rsid w:val="00D06501"/>
    <w:rsid w:val="00D06F89"/>
    <w:rsid w:val="00D0778E"/>
    <w:rsid w:val="00D07ACE"/>
    <w:rsid w:val="00D1010F"/>
    <w:rsid w:val="00D1056B"/>
    <w:rsid w:val="00D10A06"/>
    <w:rsid w:val="00D10F3D"/>
    <w:rsid w:val="00D119EB"/>
    <w:rsid w:val="00D11BB5"/>
    <w:rsid w:val="00D11F04"/>
    <w:rsid w:val="00D124D1"/>
    <w:rsid w:val="00D126B8"/>
    <w:rsid w:val="00D1309C"/>
    <w:rsid w:val="00D132C5"/>
    <w:rsid w:val="00D14B85"/>
    <w:rsid w:val="00D14F77"/>
    <w:rsid w:val="00D15ACA"/>
    <w:rsid w:val="00D15E34"/>
    <w:rsid w:val="00D15E6C"/>
    <w:rsid w:val="00D1600A"/>
    <w:rsid w:val="00D163E5"/>
    <w:rsid w:val="00D1679E"/>
    <w:rsid w:val="00D16CF1"/>
    <w:rsid w:val="00D16EDF"/>
    <w:rsid w:val="00D16F42"/>
    <w:rsid w:val="00D17268"/>
    <w:rsid w:val="00D172AD"/>
    <w:rsid w:val="00D20938"/>
    <w:rsid w:val="00D21168"/>
    <w:rsid w:val="00D213F9"/>
    <w:rsid w:val="00D21934"/>
    <w:rsid w:val="00D22B89"/>
    <w:rsid w:val="00D23442"/>
    <w:rsid w:val="00D2355A"/>
    <w:rsid w:val="00D23FD0"/>
    <w:rsid w:val="00D24358"/>
    <w:rsid w:val="00D2445C"/>
    <w:rsid w:val="00D245A8"/>
    <w:rsid w:val="00D25497"/>
    <w:rsid w:val="00D25843"/>
    <w:rsid w:val="00D2590A"/>
    <w:rsid w:val="00D25A6F"/>
    <w:rsid w:val="00D25AD1"/>
    <w:rsid w:val="00D25EC3"/>
    <w:rsid w:val="00D25F6C"/>
    <w:rsid w:val="00D262CD"/>
    <w:rsid w:val="00D26423"/>
    <w:rsid w:val="00D26723"/>
    <w:rsid w:val="00D26B6E"/>
    <w:rsid w:val="00D26D57"/>
    <w:rsid w:val="00D27669"/>
    <w:rsid w:val="00D27D9A"/>
    <w:rsid w:val="00D27FCB"/>
    <w:rsid w:val="00D302F3"/>
    <w:rsid w:val="00D303C7"/>
    <w:rsid w:val="00D30A56"/>
    <w:rsid w:val="00D31C9F"/>
    <w:rsid w:val="00D31D61"/>
    <w:rsid w:val="00D31F59"/>
    <w:rsid w:val="00D322E3"/>
    <w:rsid w:val="00D32797"/>
    <w:rsid w:val="00D3304E"/>
    <w:rsid w:val="00D340AE"/>
    <w:rsid w:val="00D34169"/>
    <w:rsid w:val="00D34272"/>
    <w:rsid w:val="00D34AC5"/>
    <w:rsid w:val="00D34ACC"/>
    <w:rsid w:val="00D34E90"/>
    <w:rsid w:val="00D35615"/>
    <w:rsid w:val="00D369C2"/>
    <w:rsid w:val="00D40823"/>
    <w:rsid w:val="00D40D20"/>
    <w:rsid w:val="00D4144C"/>
    <w:rsid w:val="00D41DB6"/>
    <w:rsid w:val="00D4283D"/>
    <w:rsid w:val="00D42B30"/>
    <w:rsid w:val="00D43CD2"/>
    <w:rsid w:val="00D44F65"/>
    <w:rsid w:val="00D45139"/>
    <w:rsid w:val="00D4562B"/>
    <w:rsid w:val="00D45941"/>
    <w:rsid w:val="00D45CD1"/>
    <w:rsid w:val="00D46F1E"/>
    <w:rsid w:val="00D47221"/>
    <w:rsid w:val="00D475BB"/>
    <w:rsid w:val="00D476DE"/>
    <w:rsid w:val="00D4777C"/>
    <w:rsid w:val="00D47EE8"/>
    <w:rsid w:val="00D47F4A"/>
    <w:rsid w:val="00D507B0"/>
    <w:rsid w:val="00D50CAD"/>
    <w:rsid w:val="00D51387"/>
    <w:rsid w:val="00D51C0C"/>
    <w:rsid w:val="00D52519"/>
    <w:rsid w:val="00D540D1"/>
    <w:rsid w:val="00D545E9"/>
    <w:rsid w:val="00D5491D"/>
    <w:rsid w:val="00D549E3"/>
    <w:rsid w:val="00D555A0"/>
    <w:rsid w:val="00D55B61"/>
    <w:rsid w:val="00D56515"/>
    <w:rsid w:val="00D565E5"/>
    <w:rsid w:val="00D5665D"/>
    <w:rsid w:val="00D567A4"/>
    <w:rsid w:val="00D56DA5"/>
    <w:rsid w:val="00D57843"/>
    <w:rsid w:val="00D57D50"/>
    <w:rsid w:val="00D60BBC"/>
    <w:rsid w:val="00D61617"/>
    <w:rsid w:val="00D616D9"/>
    <w:rsid w:val="00D61791"/>
    <w:rsid w:val="00D61A7A"/>
    <w:rsid w:val="00D62464"/>
    <w:rsid w:val="00D6263C"/>
    <w:rsid w:val="00D6268F"/>
    <w:rsid w:val="00D63A94"/>
    <w:rsid w:val="00D63F1E"/>
    <w:rsid w:val="00D6453A"/>
    <w:rsid w:val="00D6465C"/>
    <w:rsid w:val="00D64BDD"/>
    <w:rsid w:val="00D651F2"/>
    <w:rsid w:val="00D65391"/>
    <w:rsid w:val="00D653ED"/>
    <w:rsid w:val="00D65B90"/>
    <w:rsid w:val="00D66DDE"/>
    <w:rsid w:val="00D6783F"/>
    <w:rsid w:val="00D715D3"/>
    <w:rsid w:val="00D7167E"/>
    <w:rsid w:val="00D7184A"/>
    <w:rsid w:val="00D71A42"/>
    <w:rsid w:val="00D71DED"/>
    <w:rsid w:val="00D71F5F"/>
    <w:rsid w:val="00D72518"/>
    <w:rsid w:val="00D73739"/>
    <w:rsid w:val="00D743D0"/>
    <w:rsid w:val="00D75054"/>
    <w:rsid w:val="00D750DF"/>
    <w:rsid w:val="00D75269"/>
    <w:rsid w:val="00D75847"/>
    <w:rsid w:val="00D763FE"/>
    <w:rsid w:val="00D7756A"/>
    <w:rsid w:val="00D77984"/>
    <w:rsid w:val="00D77F03"/>
    <w:rsid w:val="00D8098B"/>
    <w:rsid w:val="00D80F01"/>
    <w:rsid w:val="00D80F2F"/>
    <w:rsid w:val="00D81037"/>
    <w:rsid w:val="00D8206F"/>
    <w:rsid w:val="00D825C5"/>
    <w:rsid w:val="00D830D2"/>
    <w:rsid w:val="00D834B9"/>
    <w:rsid w:val="00D834BE"/>
    <w:rsid w:val="00D83591"/>
    <w:rsid w:val="00D83853"/>
    <w:rsid w:val="00D84048"/>
    <w:rsid w:val="00D8433F"/>
    <w:rsid w:val="00D85114"/>
    <w:rsid w:val="00D851F4"/>
    <w:rsid w:val="00D85529"/>
    <w:rsid w:val="00D85974"/>
    <w:rsid w:val="00D85D0E"/>
    <w:rsid w:val="00D86227"/>
    <w:rsid w:val="00D870ED"/>
    <w:rsid w:val="00D873E5"/>
    <w:rsid w:val="00D87499"/>
    <w:rsid w:val="00D87BD0"/>
    <w:rsid w:val="00D87BFC"/>
    <w:rsid w:val="00D87C5E"/>
    <w:rsid w:val="00D87E4D"/>
    <w:rsid w:val="00D900B9"/>
    <w:rsid w:val="00D904AD"/>
    <w:rsid w:val="00D9053B"/>
    <w:rsid w:val="00D906C9"/>
    <w:rsid w:val="00D91409"/>
    <w:rsid w:val="00D91521"/>
    <w:rsid w:val="00D9192A"/>
    <w:rsid w:val="00D91C60"/>
    <w:rsid w:val="00D9265D"/>
    <w:rsid w:val="00D93C9A"/>
    <w:rsid w:val="00D9418C"/>
    <w:rsid w:val="00D9480D"/>
    <w:rsid w:val="00D95C30"/>
    <w:rsid w:val="00D96AF6"/>
    <w:rsid w:val="00D96BD7"/>
    <w:rsid w:val="00D96CF9"/>
    <w:rsid w:val="00D97367"/>
    <w:rsid w:val="00D97EFC"/>
    <w:rsid w:val="00DA016E"/>
    <w:rsid w:val="00DA153C"/>
    <w:rsid w:val="00DA1DAF"/>
    <w:rsid w:val="00DA2070"/>
    <w:rsid w:val="00DA2DD9"/>
    <w:rsid w:val="00DA31E1"/>
    <w:rsid w:val="00DA3A43"/>
    <w:rsid w:val="00DA42ED"/>
    <w:rsid w:val="00DA4DB1"/>
    <w:rsid w:val="00DA5AAA"/>
    <w:rsid w:val="00DA5FE1"/>
    <w:rsid w:val="00DA60DB"/>
    <w:rsid w:val="00DA6CF9"/>
    <w:rsid w:val="00DA6D85"/>
    <w:rsid w:val="00DA7177"/>
    <w:rsid w:val="00DA73EA"/>
    <w:rsid w:val="00DB1316"/>
    <w:rsid w:val="00DB185F"/>
    <w:rsid w:val="00DB1EAC"/>
    <w:rsid w:val="00DB21D6"/>
    <w:rsid w:val="00DB2453"/>
    <w:rsid w:val="00DB3013"/>
    <w:rsid w:val="00DB3387"/>
    <w:rsid w:val="00DB40FA"/>
    <w:rsid w:val="00DB4304"/>
    <w:rsid w:val="00DB508D"/>
    <w:rsid w:val="00DB534F"/>
    <w:rsid w:val="00DB5EA3"/>
    <w:rsid w:val="00DB63AF"/>
    <w:rsid w:val="00DB6AA6"/>
    <w:rsid w:val="00DB73CE"/>
    <w:rsid w:val="00DB7CE4"/>
    <w:rsid w:val="00DB7F9F"/>
    <w:rsid w:val="00DC0309"/>
    <w:rsid w:val="00DC0D88"/>
    <w:rsid w:val="00DC0E01"/>
    <w:rsid w:val="00DC0E81"/>
    <w:rsid w:val="00DC1353"/>
    <w:rsid w:val="00DC1DD4"/>
    <w:rsid w:val="00DC231E"/>
    <w:rsid w:val="00DC2506"/>
    <w:rsid w:val="00DC2CFF"/>
    <w:rsid w:val="00DC3760"/>
    <w:rsid w:val="00DC3CAF"/>
    <w:rsid w:val="00DC4407"/>
    <w:rsid w:val="00DC4B52"/>
    <w:rsid w:val="00DC5014"/>
    <w:rsid w:val="00DC53E3"/>
    <w:rsid w:val="00DC54CB"/>
    <w:rsid w:val="00DC57F2"/>
    <w:rsid w:val="00DC5FA0"/>
    <w:rsid w:val="00DC6C48"/>
    <w:rsid w:val="00DC6D2E"/>
    <w:rsid w:val="00DC7193"/>
    <w:rsid w:val="00DC71A4"/>
    <w:rsid w:val="00DD062C"/>
    <w:rsid w:val="00DD088B"/>
    <w:rsid w:val="00DD08FB"/>
    <w:rsid w:val="00DD165B"/>
    <w:rsid w:val="00DD3ABD"/>
    <w:rsid w:val="00DD3B6F"/>
    <w:rsid w:val="00DD49BE"/>
    <w:rsid w:val="00DD4A7B"/>
    <w:rsid w:val="00DD4B0F"/>
    <w:rsid w:val="00DD4BEA"/>
    <w:rsid w:val="00DD4D45"/>
    <w:rsid w:val="00DD5605"/>
    <w:rsid w:val="00DD5BB8"/>
    <w:rsid w:val="00DD5C3F"/>
    <w:rsid w:val="00DD5D4F"/>
    <w:rsid w:val="00DD6873"/>
    <w:rsid w:val="00DD79ED"/>
    <w:rsid w:val="00DE11BC"/>
    <w:rsid w:val="00DE122C"/>
    <w:rsid w:val="00DE14D9"/>
    <w:rsid w:val="00DE1B36"/>
    <w:rsid w:val="00DE1C49"/>
    <w:rsid w:val="00DE2BED"/>
    <w:rsid w:val="00DE34AB"/>
    <w:rsid w:val="00DE3D58"/>
    <w:rsid w:val="00DE4BE8"/>
    <w:rsid w:val="00DE4D07"/>
    <w:rsid w:val="00DE4F61"/>
    <w:rsid w:val="00DE50B1"/>
    <w:rsid w:val="00DE58D1"/>
    <w:rsid w:val="00DE5AF7"/>
    <w:rsid w:val="00DE64DD"/>
    <w:rsid w:val="00DE67F9"/>
    <w:rsid w:val="00DE6AC1"/>
    <w:rsid w:val="00DE6BA7"/>
    <w:rsid w:val="00DE7390"/>
    <w:rsid w:val="00DE7CCE"/>
    <w:rsid w:val="00DF0991"/>
    <w:rsid w:val="00DF114A"/>
    <w:rsid w:val="00DF12A8"/>
    <w:rsid w:val="00DF2FD6"/>
    <w:rsid w:val="00DF32F5"/>
    <w:rsid w:val="00DF37F1"/>
    <w:rsid w:val="00DF3DE5"/>
    <w:rsid w:val="00DF3E53"/>
    <w:rsid w:val="00DF50B2"/>
    <w:rsid w:val="00DF52F6"/>
    <w:rsid w:val="00DF5E03"/>
    <w:rsid w:val="00DF5E34"/>
    <w:rsid w:val="00DF603F"/>
    <w:rsid w:val="00DF6554"/>
    <w:rsid w:val="00DF6709"/>
    <w:rsid w:val="00DF67BF"/>
    <w:rsid w:val="00DF68D1"/>
    <w:rsid w:val="00DF696D"/>
    <w:rsid w:val="00DF6AD4"/>
    <w:rsid w:val="00DF74F7"/>
    <w:rsid w:val="00DF759C"/>
    <w:rsid w:val="00DF79AC"/>
    <w:rsid w:val="00E008E2"/>
    <w:rsid w:val="00E00DF5"/>
    <w:rsid w:val="00E0125E"/>
    <w:rsid w:val="00E01800"/>
    <w:rsid w:val="00E01DE5"/>
    <w:rsid w:val="00E02407"/>
    <w:rsid w:val="00E0254B"/>
    <w:rsid w:val="00E0265B"/>
    <w:rsid w:val="00E026CA"/>
    <w:rsid w:val="00E02BF9"/>
    <w:rsid w:val="00E02DB7"/>
    <w:rsid w:val="00E03229"/>
    <w:rsid w:val="00E033DD"/>
    <w:rsid w:val="00E03DCC"/>
    <w:rsid w:val="00E04A1A"/>
    <w:rsid w:val="00E04CA0"/>
    <w:rsid w:val="00E052D4"/>
    <w:rsid w:val="00E05F0A"/>
    <w:rsid w:val="00E062B6"/>
    <w:rsid w:val="00E063CD"/>
    <w:rsid w:val="00E06505"/>
    <w:rsid w:val="00E0650C"/>
    <w:rsid w:val="00E07DAB"/>
    <w:rsid w:val="00E11D02"/>
    <w:rsid w:val="00E127AB"/>
    <w:rsid w:val="00E129EC"/>
    <w:rsid w:val="00E12BFE"/>
    <w:rsid w:val="00E131BC"/>
    <w:rsid w:val="00E14525"/>
    <w:rsid w:val="00E146EC"/>
    <w:rsid w:val="00E146F3"/>
    <w:rsid w:val="00E14E40"/>
    <w:rsid w:val="00E14F4F"/>
    <w:rsid w:val="00E15921"/>
    <w:rsid w:val="00E15D03"/>
    <w:rsid w:val="00E1689C"/>
    <w:rsid w:val="00E16F1E"/>
    <w:rsid w:val="00E17147"/>
    <w:rsid w:val="00E17381"/>
    <w:rsid w:val="00E17701"/>
    <w:rsid w:val="00E179AC"/>
    <w:rsid w:val="00E20128"/>
    <w:rsid w:val="00E201A5"/>
    <w:rsid w:val="00E20B4A"/>
    <w:rsid w:val="00E20D0F"/>
    <w:rsid w:val="00E2113B"/>
    <w:rsid w:val="00E21EA9"/>
    <w:rsid w:val="00E2202B"/>
    <w:rsid w:val="00E24E90"/>
    <w:rsid w:val="00E2506F"/>
    <w:rsid w:val="00E250B4"/>
    <w:rsid w:val="00E25261"/>
    <w:rsid w:val="00E25722"/>
    <w:rsid w:val="00E25E18"/>
    <w:rsid w:val="00E2626F"/>
    <w:rsid w:val="00E2678B"/>
    <w:rsid w:val="00E26E79"/>
    <w:rsid w:val="00E26F27"/>
    <w:rsid w:val="00E27060"/>
    <w:rsid w:val="00E27291"/>
    <w:rsid w:val="00E27675"/>
    <w:rsid w:val="00E278AA"/>
    <w:rsid w:val="00E27BE0"/>
    <w:rsid w:val="00E27C60"/>
    <w:rsid w:val="00E27CAF"/>
    <w:rsid w:val="00E27E0B"/>
    <w:rsid w:val="00E30D06"/>
    <w:rsid w:val="00E3137B"/>
    <w:rsid w:val="00E31763"/>
    <w:rsid w:val="00E31CA9"/>
    <w:rsid w:val="00E3263C"/>
    <w:rsid w:val="00E3363D"/>
    <w:rsid w:val="00E33AC4"/>
    <w:rsid w:val="00E349E8"/>
    <w:rsid w:val="00E35A34"/>
    <w:rsid w:val="00E36D8F"/>
    <w:rsid w:val="00E37F2D"/>
    <w:rsid w:val="00E404B7"/>
    <w:rsid w:val="00E4068E"/>
    <w:rsid w:val="00E414C9"/>
    <w:rsid w:val="00E42486"/>
    <w:rsid w:val="00E42853"/>
    <w:rsid w:val="00E42D74"/>
    <w:rsid w:val="00E430BD"/>
    <w:rsid w:val="00E43896"/>
    <w:rsid w:val="00E43975"/>
    <w:rsid w:val="00E442BF"/>
    <w:rsid w:val="00E44C5A"/>
    <w:rsid w:val="00E44ED8"/>
    <w:rsid w:val="00E44FDB"/>
    <w:rsid w:val="00E45A32"/>
    <w:rsid w:val="00E45A37"/>
    <w:rsid w:val="00E464BA"/>
    <w:rsid w:val="00E46564"/>
    <w:rsid w:val="00E46699"/>
    <w:rsid w:val="00E470ED"/>
    <w:rsid w:val="00E4746F"/>
    <w:rsid w:val="00E5065D"/>
    <w:rsid w:val="00E50EAD"/>
    <w:rsid w:val="00E50F3D"/>
    <w:rsid w:val="00E51C41"/>
    <w:rsid w:val="00E51E3B"/>
    <w:rsid w:val="00E523D0"/>
    <w:rsid w:val="00E52422"/>
    <w:rsid w:val="00E52506"/>
    <w:rsid w:val="00E52E0C"/>
    <w:rsid w:val="00E52F6D"/>
    <w:rsid w:val="00E5355A"/>
    <w:rsid w:val="00E5362A"/>
    <w:rsid w:val="00E53D41"/>
    <w:rsid w:val="00E54491"/>
    <w:rsid w:val="00E55972"/>
    <w:rsid w:val="00E56978"/>
    <w:rsid w:val="00E57063"/>
    <w:rsid w:val="00E57CA9"/>
    <w:rsid w:val="00E57F88"/>
    <w:rsid w:val="00E60348"/>
    <w:rsid w:val="00E6094C"/>
    <w:rsid w:val="00E61AF5"/>
    <w:rsid w:val="00E61BED"/>
    <w:rsid w:val="00E622EE"/>
    <w:rsid w:val="00E6298C"/>
    <w:rsid w:val="00E62BED"/>
    <w:rsid w:val="00E63AE1"/>
    <w:rsid w:val="00E642DF"/>
    <w:rsid w:val="00E64EEA"/>
    <w:rsid w:val="00E65362"/>
    <w:rsid w:val="00E6585F"/>
    <w:rsid w:val="00E670CD"/>
    <w:rsid w:val="00E673E4"/>
    <w:rsid w:val="00E6748C"/>
    <w:rsid w:val="00E679D7"/>
    <w:rsid w:val="00E7010B"/>
    <w:rsid w:val="00E70348"/>
    <w:rsid w:val="00E70508"/>
    <w:rsid w:val="00E7059E"/>
    <w:rsid w:val="00E706DB"/>
    <w:rsid w:val="00E7084A"/>
    <w:rsid w:val="00E70A4F"/>
    <w:rsid w:val="00E70EB3"/>
    <w:rsid w:val="00E714FC"/>
    <w:rsid w:val="00E7173B"/>
    <w:rsid w:val="00E7195F"/>
    <w:rsid w:val="00E71B62"/>
    <w:rsid w:val="00E71D26"/>
    <w:rsid w:val="00E71F52"/>
    <w:rsid w:val="00E73FA0"/>
    <w:rsid w:val="00E741DC"/>
    <w:rsid w:val="00E750C2"/>
    <w:rsid w:val="00E75772"/>
    <w:rsid w:val="00E7597A"/>
    <w:rsid w:val="00E75C02"/>
    <w:rsid w:val="00E75D27"/>
    <w:rsid w:val="00E75D6C"/>
    <w:rsid w:val="00E7617E"/>
    <w:rsid w:val="00E762F2"/>
    <w:rsid w:val="00E76B08"/>
    <w:rsid w:val="00E778FD"/>
    <w:rsid w:val="00E80441"/>
    <w:rsid w:val="00E8080C"/>
    <w:rsid w:val="00E80AF8"/>
    <w:rsid w:val="00E810D7"/>
    <w:rsid w:val="00E8144C"/>
    <w:rsid w:val="00E8217B"/>
    <w:rsid w:val="00E82817"/>
    <w:rsid w:val="00E82D29"/>
    <w:rsid w:val="00E830D1"/>
    <w:rsid w:val="00E83230"/>
    <w:rsid w:val="00E84406"/>
    <w:rsid w:val="00E84FCB"/>
    <w:rsid w:val="00E85059"/>
    <w:rsid w:val="00E854A5"/>
    <w:rsid w:val="00E867BA"/>
    <w:rsid w:val="00E8743E"/>
    <w:rsid w:val="00E87D17"/>
    <w:rsid w:val="00E87EDC"/>
    <w:rsid w:val="00E904C3"/>
    <w:rsid w:val="00E90AC1"/>
    <w:rsid w:val="00E9165C"/>
    <w:rsid w:val="00E91E72"/>
    <w:rsid w:val="00E92D1D"/>
    <w:rsid w:val="00E93D2E"/>
    <w:rsid w:val="00E94619"/>
    <w:rsid w:val="00E949DF"/>
    <w:rsid w:val="00E94BDA"/>
    <w:rsid w:val="00E94DA6"/>
    <w:rsid w:val="00E94EE8"/>
    <w:rsid w:val="00E95F57"/>
    <w:rsid w:val="00E95F60"/>
    <w:rsid w:val="00E960CF"/>
    <w:rsid w:val="00E969CB"/>
    <w:rsid w:val="00E96CB5"/>
    <w:rsid w:val="00E96EA4"/>
    <w:rsid w:val="00EA0223"/>
    <w:rsid w:val="00EA03BA"/>
    <w:rsid w:val="00EA05BD"/>
    <w:rsid w:val="00EA0DED"/>
    <w:rsid w:val="00EA1928"/>
    <w:rsid w:val="00EA1A2E"/>
    <w:rsid w:val="00EA1CF2"/>
    <w:rsid w:val="00EA1DF7"/>
    <w:rsid w:val="00EA1F8A"/>
    <w:rsid w:val="00EA2610"/>
    <w:rsid w:val="00EA2643"/>
    <w:rsid w:val="00EA281B"/>
    <w:rsid w:val="00EA36B9"/>
    <w:rsid w:val="00EA36E3"/>
    <w:rsid w:val="00EA3AC1"/>
    <w:rsid w:val="00EA3CA8"/>
    <w:rsid w:val="00EA4407"/>
    <w:rsid w:val="00EA4FFF"/>
    <w:rsid w:val="00EA5474"/>
    <w:rsid w:val="00EA63EA"/>
    <w:rsid w:val="00EA64C1"/>
    <w:rsid w:val="00EA6968"/>
    <w:rsid w:val="00EA6FDD"/>
    <w:rsid w:val="00EA77A2"/>
    <w:rsid w:val="00EB13F0"/>
    <w:rsid w:val="00EB28B5"/>
    <w:rsid w:val="00EB2E03"/>
    <w:rsid w:val="00EB3ACF"/>
    <w:rsid w:val="00EB6484"/>
    <w:rsid w:val="00EB6686"/>
    <w:rsid w:val="00EB6799"/>
    <w:rsid w:val="00EB6907"/>
    <w:rsid w:val="00EB75C1"/>
    <w:rsid w:val="00EB76F9"/>
    <w:rsid w:val="00EB784E"/>
    <w:rsid w:val="00EB7AAE"/>
    <w:rsid w:val="00EC0F1F"/>
    <w:rsid w:val="00EC3AAB"/>
    <w:rsid w:val="00EC4B89"/>
    <w:rsid w:val="00EC517C"/>
    <w:rsid w:val="00EC5354"/>
    <w:rsid w:val="00EC57B7"/>
    <w:rsid w:val="00EC5C6C"/>
    <w:rsid w:val="00EC6240"/>
    <w:rsid w:val="00EC6CBA"/>
    <w:rsid w:val="00EC6E47"/>
    <w:rsid w:val="00EC7306"/>
    <w:rsid w:val="00EC73D2"/>
    <w:rsid w:val="00EC7A4B"/>
    <w:rsid w:val="00ED0A2D"/>
    <w:rsid w:val="00ED0A4D"/>
    <w:rsid w:val="00ED1B1D"/>
    <w:rsid w:val="00ED1EB8"/>
    <w:rsid w:val="00ED26B5"/>
    <w:rsid w:val="00ED47C2"/>
    <w:rsid w:val="00ED5192"/>
    <w:rsid w:val="00ED5278"/>
    <w:rsid w:val="00ED55DF"/>
    <w:rsid w:val="00ED56B2"/>
    <w:rsid w:val="00ED5A07"/>
    <w:rsid w:val="00ED617B"/>
    <w:rsid w:val="00ED6239"/>
    <w:rsid w:val="00ED62B8"/>
    <w:rsid w:val="00ED680A"/>
    <w:rsid w:val="00ED769E"/>
    <w:rsid w:val="00ED7744"/>
    <w:rsid w:val="00ED7A9D"/>
    <w:rsid w:val="00ED7C14"/>
    <w:rsid w:val="00EE07AB"/>
    <w:rsid w:val="00EE1915"/>
    <w:rsid w:val="00EE1916"/>
    <w:rsid w:val="00EE22C2"/>
    <w:rsid w:val="00EE2337"/>
    <w:rsid w:val="00EE2E9F"/>
    <w:rsid w:val="00EE31A3"/>
    <w:rsid w:val="00EE39B9"/>
    <w:rsid w:val="00EE3FF0"/>
    <w:rsid w:val="00EE43AE"/>
    <w:rsid w:val="00EE5405"/>
    <w:rsid w:val="00EE5728"/>
    <w:rsid w:val="00EE5777"/>
    <w:rsid w:val="00EE58BD"/>
    <w:rsid w:val="00EE5C79"/>
    <w:rsid w:val="00EE645D"/>
    <w:rsid w:val="00EE647B"/>
    <w:rsid w:val="00EE673D"/>
    <w:rsid w:val="00EE6985"/>
    <w:rsid w:val="00EE6CF0"/>
    <w:rsid w:val="00EF05D8"/>
    <w:rsid w:val="00EF0C15"/>
    <w:rsid w:val="00EF102A"/>
    <w:rsid w:val="00EF115A"/>
    <w:rsid w:val="00EF11A9"/>
    <w:rsid w:val="00EF126B"/>
    <w:rsid w:val="00EF15AE"/>
    <w:rsid w:val="00EF2714"/>
    <w:rsid w:val="00EF32A3"/>
    <w:rsid w:val="00EF35AF"/>
    <w:rsid w:val="00EF4106"/>
    <w:rsid w:val="00EF41D2"/>
    <w:rsid w:val="00EF4717"/>
    <w:rsid w:val="00EF4C03"/>
    <w:rsid w:val="00EF4D5F"/>
    <w:rsid w:val="00EF55D3"/>
    <w:rsid w:val="00EF62B4"/>
    <w:rsid w:val="00EF6C02"/>
    <w:rsid w:val="00EF77A6"/>
    <w:rsid w:val="00EF783F"/>
    <w:rsid w:val="00F01191"/>
    <w:rsid w:val="00F019EC"/>
    <w:rsid w:val="00F01F5C"/>
    <w:rsid w:val="00F021D4"/>
    <w:rsid w:val="00F02346"/>
    <w:rsid w:val="00F02686"/>
    <w:rsid w:val="00F02739"/>
    <w:rsid w:val="00F02948"/>
    <w:rsid w:val="00F03475"/>
    <w:rsid w:val="00F03B79"/>
    <w:rsid w:val="00F03E4A"/>
    <w:rsid w:val="00F04127"/>
    <w:rsid w:val="00F042F5"/>
    <w:rsid w:val="00F043E7"/>
    <w:rsid w:val="00F04EC7"/>
    <w:rsid w:val="00F060BE"/>
    <w:rsid w:val="00F0655C"/>
    <w:rsid w:val="00F10234"/>
    <w:rsid w:val="00F1036D"/>
    <w:rsid w:val="00F10473"/>
    <w:rsid w:val="00F10712"/>
    <w:rsid w:val="00F10A30"/>
    <w:rsid w:val="00F110CA"/>
    <w:rsid w:val="00F11E39"/>
    <w:rsid w:val="00F12FD7"/>
    <w:rsid w:val="00F13826"/>
    <w:rsid w:val="00F13884"/>
    <w:rsid w:val="00F13EF0"/>
    <w:rsid w:val="00F13F67"/>
    <w:rsid w:val="00F141FF"/>
    <w:rsid w:val="00F154E7"/>
    <w:rsid w:val="00F15855"/>
    <w:rsid w:val="00F159BD"/>
    <w:rsid w:val="00F16B86"/>
    <w:rsid w:val="00F16DBB"/>
    <w:rsid w:val="00F17470"/>
    <w:rsid w:val="00F177CD"/>
    <w:rsid w:val="00F17D33"/>
    <w:rsid w:val="00F17D3B"/>
    <w:rsid w:val="00F17E92"/>
    <w:rsid w:val="00F2083B"/>
    <w:rsid w:val="00F20C5B"/>
    <w:rsid w:val="00F20DBD"/>
    <w:rsid w:val="00F21185"/>
    <w:rsid w:val="00F219F4"/>
    <w:rsid w:val="00F22024"/>
    <w:rsid w:val="00F22828"/>
    <w:rsid w:val="00F22DA1"/>
    <w:rsid w:val="00F23676"/>
    <w:rsid w:val="00F23D42"/>
    <w:rsid w:val="00F24EF0"/>
    <w:rsid w:val="00F2532A"/>
    <w:rsid w:val="00F25CA3"/>
    <w:rsid w:val="00F26108"/>
    <w:rsid w:val="00F268A6"/>
    <w:rsid w:val="00F278E1"/>
    <w:rsid w:val="00F27B0B"/>
    <w:rsid w:val="00F3092E"/>
    <w:rsid w:val="00F30A41"/>
    <w:rsid w:val="00F30FE5"/>
    <w:rsid w:val="00F32279"/>
    <w:rsid w:val="00F323D1"/>
    <w:rsid w:val="00F331F4"/>
    <w:rsid w:val="00F337FD"/>
    <w:rsid w:val="00F34B0B"/>
    <w:rsid w:val="00F3541F"/>
    <w:rsid w:val="00F36AD8"/>
    <w:rsid w:val="00F36B40"/>
    <w:rsid w:val="00F37820"/>
    <w:rsid w:val="00F37AF3"/>
    <w:rsid w:val="00F37D28"/>
    <w:rsid w:val="00F40929"/>
    <w:rsid w:val="00F4102B"/>
    <w:rsid w:val="00F4142E"/>
    <w:rsid w:val="00F41902"/>
    <w:rsid w:val="00F41B9C"/>
    <w:rsid w:val="00F424F2"/>
    <w:rsid w:val="00F424F8"/>
    <w:rsid w:val="00F42586"/>
    <w:rsid w:val="00F42BBB"/>
    <w:rsid w:val="00F430EA"/>
    <w:rsid w:val="00F43A94"/>
    <w:rsid w:val="00F4504F"/>
    <w:rsid w:val="00F45279"/>
    <w:rsid w:val="00F4653F"/>
    <w:rsid w:val="00F46C32"/>
    <w:rsid w:val="00F46F6F"/>
    <w:rsid w:val="00F476A7"/>
    <w:rsid w:val="00F47AE2"/>
    <w:rsid w:val="00F502CD"/>
    <w:rsid w:val="00F50782"/>
    <w:rsid w:val="00F50B57"/>
    <w:rsid w:val="00F50D08"/>
    <w:rsid w:val="00F515AA"/>
    <w:rsid w:val="00F5181D"/>
    <w:rsid w:val="00F519A1"/>
    <w:rsid w:val="00F52A92"/>
    <w:rsid w:val="00F53508"/>
    <w:rsid w:val="00F5374B"/>
    <w:rsid w:val="00F53CC5"/>
    <w:rsid w:val="00F54057"/>
    <w:rsid w:val="00F541C7"/>
    <w:rsid w:val="00F5429C"/>
    <w:rsid w:val="00F55AB3"/>
    <w:rsid w:val="00F61874"/>
    <w:rsid w:val="00F61A4E"/>
    <w:rsid w:val="00F61F68"/>
    <w:rsid w:val="00F627E8"/>
    <w:rsid w:val="00F62E3F"/>
    <w:rsid w:val="00F62E81"/>
    <w:rsid w:val="00F62F09"/>
    <w:rsid w:val="00F634B1"/>
    <w:rsid w:val="00F63AC2"/>
    <w:rsid w:val="00F6415C"/>
    <w:rsid w:val="00F6478D"/>
    <w:rsid w:val="00F64847"/>
    <w:rsid w:val="00F64A6C"/>
    <w:rsid w:val="00F64E80"/>
    <w:rsid w:val="00F651BB"/>
    <w:rsid w:val="00F65507"/>
    <w:rsid w:val="00F656A7"/>
    <w:rsid w:val="00F65C17"/>
    <w:rsid w:val="00F6701F"/>
    <w:rsid w:val="00F70A53"/>
    <w:rsid w:val="00F70C34"/>
    <w:rsid w:val="00F70CA8"/>
    <w:rsid w:val="00F70F66"/>
    <w:rsid w:val="00F710E8"/>
    <w:rsid w:val="00F713DB"/>
    <w:rsid w:val="00F71597"/>
    <w:rsid w:val="00F71825"/>
    <w:rsid w:val="00F71D1D"/>
    <w:rsid w:val="00F727E4"/>
    <w:rsid w:val="00F73A03"/>
    <w:rsid w:val="00F76817"/>
    <w:rsid w:val="00F769A7"/>
    <w:rsid w:val="00F77127"/>
    <w:rsid w:val="00F77374"/>
    <w:rsid w:val="00F774E7"/>
    <w:rsid w:val="00F77710"/>
    <w:rsid w:val="00F77A2E"/>
    <w:rsid w:val="00F77BA4"/>
    <w:rsid w:val="00F803F6"/>
    <w:rsid w:val="00F81077"/>
    <w:rsid w:val="00F81484"/>
    <w:rsid w:val="00F81941"/>
    <w:rsid w:val="00F81C87"/>
    <w:rsid w:val="00F83323"/>
    <w:rsid w:val="00F83B8B"/>
    <w:rsid w:val="00F84165"/>
    <w:rsid w:val="00F849DD"/>
    <w:rsid w:val="00F857A2"/>
    <w:rsid w:val="00F85890"/>
    <w:rsid w:val="00F85C0F"/>
    <w:rsid w:val="00F85EE1"/>
    <w:rsid w:val="00F85EF2"/>
    <w:rsid w:val="00F86B46"/>
    <w:rsid w:val="00F870B7"/>
    <w:rsid w:val="00F905A2"/>
    <w:rsid w:val="00F91125"/>
    <w:rsid w:val="00F91636"/>
    <w:rsid w:val="00F9227A"/>
    <w:rsid w:val="00F928C8"/>
    <w:rsid w:val="00F9370A"/>
    <w:rsid w:val="00F9375C"/>
    <w:rsid w:val="00F9378F"/>
    <w:rsid w:val="00F93BC4"/>
    <w:rsid w:val="00F940D4"/>
    <w:rsid w:val="00F9451E"/>
    <w:rsid w:val="00F94BA3"/>
    <w:rsid w:val="00F94C42"/>
    <w:rsid w:val="00F9557C"/>
    <w:rsid w:val="00F9567A"/>
    <w:rsid w:val="00F9587A"/>
    <w:rsid w:val="00F967BD"/>
    <w:rsid w:val="00F972C0"/>
    <w:rsid w:val="00F97303"/>
    <w:rsid w:val="00F97D34"/>
    <w:rsid w:val="00FA10DC"/>
    <w:rsid w:val="00FA144A"/>
    <w:rsid w:val="00FA27E1"/>
    <w:rsid w:val="00FA2E84"/>
    <w:rsid w:val="00FA345A"/>
    <w:rsid w:val="00FA3AA7"/>
    <w:rsid w:val="00FA3D6B"/>
    <w:rsid w:val="00FA4171"/>
    <w:rsid w:val="00FA41E4"/>
    <w:rsid w:val="00FA4583"/>
    <w:rsid w:val="00FA4814"/>
    <w:rsid w:val="00FA4AA0"/>
    <w:rsid w:val="00FA4E14"/>
    <w:rsid w:val="00FA4F05"/>
    <w:rsid w:val="00FA4FF9"/>
    <w:rsid w:val="00FA54C4"/>
    <w:rsid w:val="00FA5573"/>
    <w:rsid w:val="00FA648A"/>
    <w:rsid w:val="00FA64D9"/>
    <w:rsid w:val="00FA6570"/>
    <w:rsid w:val="00FA68F1"/>
    <w:rsid w:val="00FA6A99"/>
    <w:rsid w:val="00FA6C8B"/>
    <w:rsid w:val="00FA719F"/>
    <w:rsid w:val="00FA71B6"/>
    <w:rsid w:val="00FA7760"/>
    <w:rsid w:val="00FA7A41"/>
    <w:rsid w:val="00FA7B30"/>
    <w:rsid w:val="00FB0AB9"/>
    <w:rsid w:val="00FB0CA0"/>
    <w:rsid w:val="00FB0D68"/>
    <w:rsid w:val="00FB204E"/>
    <w:rsid w:val="00FB25F2"/>
    <w:rsid w:val="00FB2801"/>
    <w:rsid w:val="00FB2839"/>
    <w:rsid w:val="00FB2F5D"/>
    <w:rsid w:val="00FB322F"/>
    <w:rsid w:val="00FB363A"/>
    <w:rsid w:val="00FB3FD6"/>
    <w:rsid w:val="00FB4A35"/>
    <w:rsid w:val="00FB4E50"/>
    <w:rsid w:val="00FB52D9"/>
    <w:rsid w:val="00FB69FF"/>
    <w:rsid w:val="00FB6AF8"/>
    <w:rsid w:val="00FB7662"/>
    <w:rsid w:val="00FB7FFB"/>
    <w:rsid w:val="00FC01D0"/>
    <w:rsid w:val="00FC06AC"/>
    <w:rsid w:val="00FC09A0"/>
    <w:rsid w:val="00FC09D5"/>
    <w:rsid w:val="00FC0AF0"/>
    <w:rsid w:val="00FC124B"/>
    <w:rsid w:val="00FC2005"/>
    <w:rsid w:val="00FC22B5"/>
    <w:rsid w:val="00FC385D"/>
    <w:rsid w:val="00FC4B17"/>
    <w:rsid w:val="00FC545A"/>
    <w:rsid w:val="00FC5766"/>
    <w:rsid w:val="00FC5A51"/>
    <w:rsid w:val="00FC5A63"/>
    <w:rsid w:val="00FC5AA9"/>
    <w:rsid w:val="00FC5AEC"/>
    <w:rsid w:val="00FC5C97"/>
    <w:rsid w:val="00FC68E8"/>
    <w:rsid w:val="00FC6B32"/>
    <w:rsid w:val="00FD00F5"/>
    <w:rsid w:val="00FD0AE9"/>
    <w:rsid w:val="00FD0F69"/>
    <w:rsid w:val="00FD1D2A"/>
    <w:rsid w:val="00FD208D"/>
    <w:rsid w:val="00FD2715"/>
    <w:rsid w:val="00FD2E77"/>
    <w:rsid w:val="00FD388D"/>
    <w:rsid w:val="00FD3AA1"/>
    <w:rsid w:val="00FD3FEA"/>
    <w:rsid w:val="00FD40E7"/>
    <w:rsid w:val="00FD4888"/>
    <w:rsid w:val="00FD4B10"/>
    <w:rsid w:val="00FD4FE3"/>
    <w:rsid w:val="00FD570F"/>
    <w:rsid w:val="00FD5773"/>
    <w:rsid w:val="00FD6087"/>
    <w:rsid w:val="00FD7FF0"/>
    <w:rsid w:val="00FE13C4"/>
    <w:rsid w:val="00FE13EB"/>
    <w:rsid w:val="00FE29C7"/>
    <w:rsid w:val="00FE3906"/>
    <w:rsid w:val="00FE4088"/>
    <w:rsid w:val="00FE414A"/>
    <w:rsid w:val="00FE596B"/>
    <w:rsid w:val="00FE5A70"/>
    <w:rsid w:val="00FE5DC9"/>
    <w:rsid w:val="00FE63A6"/>
    <w:rsid w:val="00FE66E6"/>
    <w:rsid w:val="00FE7045"/>
    <w:rsid w:val="00FE70F0"/>
    <w:rsid w:val="00FE7175"/>
    <w:rsid w:val="00FF12B1"/>
    <w:rsid w:val="00FF1D6E"/>
    <w:rsid w:val="00FF2349"/>
    <w:rsid w:val="00FF2620"/>
    <w:rsid w:val="00FF2DCA"/>
    <w:rsid w:val="00FF399C"/>
    <w:rsid w:val="00FF3D12"/>
    <w:rsid w:val="00FF4003"/>
    <w:rsid w:val="00FF40F4"/>
    <w:rsid w:val="00FF4439"/>
    <w:rsid w:val="00FF445A"/>
    <w:rsid w:val="00FF4757"/>
    <w:rsid w:val="00FF4CC6"/>
    <w:rsid w:val="00FF4D36"/>
    <w:rsid w:val="00FF4F66"/>
    <w:rsid w:val="00FF52B1"/>
    <w:rsid w:val="00FF57DF"/>
    <w:rsid w:val="00FF5AD5"/>
    <w:rsid w:val="00FF5AF6"/>
    <w:rsid w:val="00FF7326"/>
    <w:rsid w:val="00FF758A"/>
    <w:rsid w:val="00FF7BF8"/>
    <w:rsid w:val="00FF7C64"/>
    <w:rsid w:val="012537E1"/>
    <w:rsid w:val="02614EAB"/>
    <w:rsid w:val="03401B3A"/>
    <w:rsid w:val="0349417E"/>
    <w:rsid w:val="03DEB371"/>
    <w:rsid w:val="0465BF43"/>
    <w:rsid w:val="048DE8EF"/>
    <w:rsid w:val="04C781A5"/>
    <w:rsid w:val="05C86D94"/>
    <w:rsid w:val="062E46EC"/>
    <w:rsid w:val="064CA276"/>
    <w:rsid w:val="06524D25"/>
    <w:rsid w:val="08FED75A"/>
    <w:rsid w:val="09A3CA68"/>
    <w:rsid w:val="09A807BB"/>
    <w:rsid w:val="09E2D749"/>
    <w:rsid w:val="0AB4D0A3"/>
    <w:rsid w:val="0B152BC6"/>
    <w:rsid w:val="0C16D7E1"/>
    <w:rsid w:val="0E28DC8F"/>
    <w:rsid w:val="0E485BB0"/>
    <w:rsid w:val="0F860A1F"/>
    <w:rsid w:val="10DD0CB8"/>
    <w:rsid w:val="11108A38"/>
    <w:rsid w:val="135CE62A"/>
    <w:rsid w:val="14A6AC3C"/>
    <w:rsid w:val="14DE8BA9"/>
    <w:rsid w:val="15E400F3"/>
    <w:rsid w:val="1628F415"/>
    <w:rsid w:val="168F7C92"/>
    <w:rsid w:val="16C8BABC"/>
    <w:rsid w:val="16D5CFF5"/>
    <w:rsid w:val="17077926"/>
    <w:rsid w:val="1733459E"/>
    <w:rsid w:val="1764AB1E"/>
    <w:rsid w:val="198BB20D"/>
    <w:rsid w:val="1A098909"/>
    <w:rsid w:val="1B6710B1"/>
    <w:rsid w:val="1B7E83B0"/>
    <w:rsid w:val="1BA594C8"/>
    <w:rsid w:val="1DCBE71C"/>
    <w:rsid w:val="1DEAF8DE"/>
    <w:rsid w:val="1F7D91C3"/>
    <w:rsid w:val="1FF693CF"/>
    <w:rsid w:val="20037B45"/>
    <w:rsid w:val="223A36E2"/>
    <w:rsid w:val="244402EA"/>
    <w:rsid w:val="248BA898"/>
    <w:rsid w:val="262C729D"/>
    <w:rsid w:val="2697DC22"/>
    <w:rsid w:val="269B6B6E"/>
    <w:rsid w:val="27772CE7"/>
    <w:rsid w:val="277AFD64"/>
    <w:rsid w:val="28531920"/>
    <w:rsid w:val="288458AE"/>
    <w:rsid w:val="28D5334F"/>
    <w:rsid w:val="2ACD4704"/>
    <w:rsid w:val="2E88560F"/>
    <w:rsid w:val="2F119387"/>
    <w:rsid w:val="2FAF5531"/>
    <w:rsid w:val="2FCEF73F"/>
    <w:rsid w:val="30016856"/>
    <w:rsid w:val="30F11F78"/>
    <w:rsid w:val="3330D497"/>
    <w:rsid w:val="34C7DCA0"/>
    <w:rsid w:val="351E6D23"/>
    <w:rsid w:val="352F3B1D"/>
    <w:rsid w:val="358E0283"/>
    <w:rsid w:val="35B75744"/>
    <w:rsid w:val="3692C59F"/>
    <w:rsid w:val="36B18A65"/>
    <w:rsid w:val="37ED2459"/>
    <w:rsid w:val="3A3BA8F6"/>
    <w:rsid w:val="3A4D5202"/>
    <w:rsid w:val="3A8634C5"/>
    <w:rsid w:val="3AD26042"/>
    <w:rsid w:val="3AF1DEBF"/>
    <w:rsid w:val="3BFF532E"/>
    <w:rsid w:val="3C9EEC8C"/>
    <w:rsid w:val="3D3BDFFA"/>
    <w:rsid w:val="3D5CBEBB"/>
    <w:rsid w:val="3D6D2705"/>
    <w:rsid w:val="407809E1"/>
    <w:rsid w:val="40C5E739"/>
    <w:rsid w:val="41531C8E"/>
    <w:rsid w:val="427F731D"/>
    <w:rsid w:val="43491698"/>
    <w:rsid w:val="43C03A79"/>
    <w:rsid w:val="43DE4A5C"/>
    <w:rsid w:val="450F572D"/>
    <w:rsid w:val="45815FA5"/>
    <w:rsid w:val="45E6FF51"/>
    <w:rsid w:val="47B3A29A"/>
    <w:rsid w:val="4846A91E"/>
    <w:rsid w:val="484B3A08"/>
    <w:rsid w:val="4939E59C"/>
    <w:rsid w:val="49C69C95"/>
    <w:rsid w:val="49E9AC95"/>
    <w:rsid w:val="49F85B37"/>
    <w:rsid w:val="4B5BFD13"/>
    <w:rsid w:val="4BB9A910"/>
    <w:rsid w:val="4F075C0D"/>
    <w:rsid w:val="4F99D9FE"/>
    <w:rsid w:val="50FDD76E"/>
    <w:rsid w:val="5173FE21"/>
    <w:rsid w:val="52011632"/>
    <w:rsid w:val="53566580"/>
    <w:rsid w:val="555A6A8D"/>
    <w:rsid w:val="55D794C4"/>
    <w:rsid w:val="562CBB59"/>
    <w:rsid w:val="577E02BC"/>
    <w:rsid w:val="5789C7A8"/>
    <w:rsid w:val="57B8D8EA"/>
    <w:rsid w:val="58757B3F"/>
    <w:rsid w:val="59A15FF6"/>
    <w:rsid w:val="59B1BE51"/>
    <w:rsid w:val="5A055EBE"/>
    <w:rsid w:val="5B06FD42"/>
    <w:rsid w:val="608F35CE"/>
    <w:rsid w:val="6120B4F5"/>
    <w:rsid w:val="61754078"/>
    <w:rsid w:val="6403BFD7"/>
    <w:rsid w:val="64432F7A"/>
    <w:rsid w:val="64647DFB"/>
    <w:rsid w:val="6637A7F7"/>
    <w:rsid w:val="66E0ECE6"/>
    <w:rsid w:val="67C7A698"/>
    <w:rsid w:val="68B7E6E3"/>
    <w:rsid w:val="6A6249C6"/>
    <w:rsid w:val="6A751009"/>
    <w:rsid w:val="6C66828A"/>
    <w:rsid w:val="6D8B74A9"/>
    <w:rsid w:val="6DD3751A"/>
    <w:rsid w:val="6E2C0E45"/>
    <w:rsid w:val="702624EC"/>
    <w:rsid w:val="7051F574"/>
    <w:rsid w:val="70847C58"/>
    <w:rsid w:val="719B7A49"/>
    <w:rsid w:val="71D79366"/>
    <w:rsid w:val="71F333B5"/>
    <w:rsid w:val="723A879E"/>
    <w:rsid w:val="7366DB90"/>
    <w:rsid w:val="74ACBFEF"/>
    <w:rsid w:val="75554A47"/>
    <w:rsid w:val="77D85722"/>
    <w:rsid w:val="7867DE1D"/>
    <w:rsid w:val="78E83024"/>
    <w:rsid w:val="79539349"/>
    <w:rsid w:val="7A95C4D5"/>
    <w:rsid w:val="7B3C308F"/>
    <w:rsid w:val="7B688C10"/>
    <w:rsid w:val="7C76D23F"/>
    <w:rsid w:val="7E902CF3"/>
    <w:rsid w:val="7EF5D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E2FE10"/>
  <w15:docId w15:val="{EEC999A0-FAE3-450A-894E-2A55C152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08C"/>
    <w:rPr>
      <w:lang w:val="en-GB"/>
    </w:rPr>
  </w:style>
  <w:style w:type="paragraph" w:styleId="Heading1">
    <w:name w:val="heading 1"/>
    <w:basedOn w:val="Normal"/>
    <w:next w:val="Text1"/>
    <w:link w:val="Heading1Char"/>
    <w:qFormat/>
    <w:rsid w:val="008530D4"/>
    <w:pPr>
      <w:keepNext/>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8530D4"/>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unhideWhenUsed/>
    <w:qFormat/>
    <w:rsid w:val="00147D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B35E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6A5F73"/>
    <w:rPr>
      <w:color w:val="0000FF"/>
      <w:shd w:val="clear" w:color="auto" w:fill="auto"/>
    </w:rPr>
  </w:style>
  <w:style w:type="paragraph" w:customStyle="1" w:styleId="Pagedecouverture">
    <w:name w:val="Page de couverture"/>
    <w:basedOn w:val="Normal"/>
    <w:next w:val="Normal"/>
    <w:rsid w:val="006A5F73"/>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DD4A7B"/>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DD4A7B"/>
    <w:rPr>
      <w:rFonts w:ascii="Times New Roman" w:hAnsi="Times New Roman" w:cs="Times New Roman"/>
      <w:sz w:val="24"/>
    </w:rPr>
  </w:style>
  <w:style w:type="paragraph" w:styleId="Footer">
    <w:name w:val="footer"/>
    <w:basedOn w:val="Normal"/>
    <w:link w:val="FooterChar"/>
    <w:uiPriority w:val="99"/>
    <w:unhideWhenUsed/>
    <w:rsid w:val="00DD4A7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DD4A7B"/>
    <w:rPr>
      <w:rFonts w:ascii="Times New Roman" w:hAnsi="Times New Roman" w:cs="Times New Roman"/>
      <w:sz w:val="24"/>
    </w:rPr>
  </w:style>
  <w:style w:type="paragraph" w:customStyle="1" w:styleId="FooterCoverPage">
    <w:name w:val="Footer Cover Page"/>
    <w:basedOn w:val="Normal"/>
    <w:link w:val="FooterCoverPageChar"/>
    <w:rsid w:val="006A5F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A5F73"/>
    <w:rPr>
      <w:rFonts w:ascii="Times New Roman" w:hAnsi="Times New Roman" w:cs="Times New Roman"/>
      <w:sz w:val="24"/>
      <w:lang w:val="en-GB"/>
    </w:rPr>
  </w:style>
  <w:style w:type="paragraph" w:customStyle="1" w:styleId="HeaderCoverPage">
    <w:name w:val="Header Cover Page"/>
    <w:basedOn w:val="Normal"/>
    <w:link w:val="HeaderCoverPageChar"/>
    <w:rsid w:val="006A5F7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A5F73"/>
    <w:rPr>
      <w:rFonts w:ascii="Times New Roman" w:hAnsi="Times New Roman" w:cs="Times New Roman"/>
      <w:sz w:val="24"/>
      <w:lang w:val="en-GB"/>
    </w:rPr>
  </w:style>
  <w:style w:type="character" w:customStyle="1" w:styleId="Heading1Char">
    <w:name w:val="Heading 1 Char"/>
    <w:basedOn w:val="DefaultParagraphFont"/>
    <w:link w:val="Heading1"/>
    <w:rsid w:val="008530D4"/>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sid w:val="008530D4"/>
    <w:rPr>
      <w:rFonts w:ascii="Times New Roman" w:eastAsia="Times New Roman" w:hAnsi="Times New Roman" w:cs="Times New Roman"/>
      <w:b/>
      <w:sz w:val="24"/>
      <w:szCs w:val="20"/>
      <w:lang w:val="en-GB"/>
    </w:rPr>
  </w:style>
  <w:style w:type="paragraph" w:customStyle="1" w:styleId="Text1">
    <w:name w:val="Text 1"/>
    <w:basedOn w:val="Normal"/>
    <w:rsid w:val="008530D4"/>
    <w:pPr>
      <w:spacing w:after="240" w:line="240" w:lineRule="auto"/>
      <w:ind w:left="482"/>
      <w:jc w:val="both"/>
    </w:pPr>
    <w:rPr>
      <w:rFonts w:ascii="Times New Roman" w:eastAsia="Times New Roman" w:hAnsi="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8530D4"/>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8530D4"/>
    <w:rPr>
      <w:rFonts w:ascii="Times New Roman" w:eastAsia="Times New Roman" w:hAnsi="Times New Roman" w:cs="Times New Roman"/>
      <w:sz w:val="20"/>
      <w:szCs w:val="20"/>
      <w:lang w:val="en-GB"/>
    </w:rPr>
  </w:style>
  <w:style w:type="paragraph" w:styleId="ListBullet">
    <w:name w:val="List Bullet"/>
    <w:basedOn w:val="Normal"/>
    <w:rsid w:val="008530D4"/>
    <w:pPr>
      <w:spacing w:after="240" w:line="240" w:lineRule="auto"/>
      <w:jc w:val="both"/>
    </w:pPr>
    <w:rPr>
      <w:rFonts w:ascii="Times New Roman" w:eastAsia="Times New Roman" w:hAnsi="Times New Roman" w:cs="Times New Roman"/>
      <w:sz w:val="24"/>
      <w:szCs w:val="20"/>
    </w:rPr>
  </w:style>
  <w:style w:type="paragraph" w:customStyle="1" w:styleId="NumPar1">
    <w:name w:val="NumPar 1"/>
    <w:basedOn w:val="Heading1"/>
    <w:next w:val="Text1"/>
    <w:rsid w:val="008530D4"/>
    <w:pPr>
      <w:keepNext w:val="0"/>
      <w:spacing w:before="0"/>
      <w:outlineLvl w:val="9"/>
    </w:pPr>
    <w:rPr>
      <w:b w:val="0"/>
      <w:smallCaps w:val="0"/>
    </w:rPr>
  </w:style>
  <w:style w:type="paragraph" w:customStyle="1" w:styleId="SubTitle1">
    <w:name w:val="SubTitle 1"/>
    <w:basedOn w:val="Normal"/>
    <w:next w:val="Normal"/>
    <w:rsid w:val="008530D4"/>
    <w:pPr>
      <w:spacing w:after="240" w:line="240" w:lineRule="auto"/>
      <w:jc w:val="center"/>
    </w:pPr>
    <w:rPr>
      <w:rFonts w:ascii="Times New Roman" w:eastAsia="Times New Roman" w:hAnsi="Times New Roman" w:cs="Times New Roman"/>
      <w:b/>
      <w:sz w:val="40"/>
      <w:szCs w:val="20"/>
    </w:rPr>
  </w:style>
  <w:style w:type="paragraph" w:styleId="Title">
    <w:name w:val="Title"/>
    <w:basedOn w:val="Normal"/>
    <w:next w:val="SubTitle1"/>
    <w:link w:val="TitleChar"/>
    <w:qFormat/>
    <w:rsid w:val="008530D4"/>
    <w:pPr>
      <w:spacing w:after="480" w:line="240" w:lineRule="auto"/>
      <w:jc w:val="center"/>
    </w:pPr>
    <w:rPr>
      <w:rFonts w:ascii="Times New Roman" w:eastAsia="Times New Roman" w:hAnsi="Times New Roman" w:cs="Times New Roman"/>
      <w:b/>
      <w:kern w:val="28"/>
      <w:sz w:val="48"/>
      <w:szCs w:val="20"/>
    </w:rPr>
  </w:style>
  <w:style w:type="character" w:customStyle="1" w:styleId="TitleChar">
    <w:name w:val="Title Char"/>
    <w:basedOn w:val="DefaultParagraphFont"/>
    <w:link w:val="Title"/>
    <w:rsid w:val="008530D4"/>
    <w:rPr>
      <w:rFonts w:ascii="Times New Roman" w:eastAsia="Times New Roman" w:hAnsi="Times New Roman" w:cs="Times New Roman"/>
      <w:b/>
      <w:kern w:val="28"/>
      <w:sz w:val="48"/>
      <w:szCs w:val="20"/>
      <w:lang w:val="en-GB"/>
    </w:rPr>
  </w:style>
  <w:style w:type="paragraph" w:styleId="TOC1">
    <w:name w:val="toc 1"/>
    <w:basedOn w:val="Normal"/>
    <w:next w:val="Normal"/>
    <w:uiPriority w:val="39"/>
    <w:rsid w:val="008530D4"/>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customStyle="1" w:styleId="ListDash1">
    <w:name w:val="List Dash 1"/>
    <w:basedOn w:val="Text1"/>
    <w:rsid w:val="008530D4"/>
    <w:pPr>
      <w:numPr>
        <w:numId w:val="2"/>
      </w:numPr>
    </w:pPr>
  </w:style>
  <w:style w:type="paragraph" w:styleId="TOCHeading">
    <w:name w:val="TOC Heading"/>
    <w:basedOn w:val="Normal"/>
    <w:next w:val="Normal"/>
    <w:uiPriority w:val="39"/>
    <w:qFormat/>
    <w:rsid w:val="008530D4"/>
    <w:pPr>
      <w:keepNext/>
      <w:spacing w:before="240" w:after="240" w:line="240" w:lineRule="auto"/>
      <w:jc w:val="center"/>
    </w:pPr>
    <w:rPr>
      <w:rFonts w:ascii="Times New Roman" w:eastAsia="Times New Roman" w:hAnsi="Times New Roman" w:cs="Times New Roman"/>
      <w:b/>
      <w:sz w:val="24"/>
      <w:szCs w:val="20"/>
    </w:rPr>
  </w:style>
  <w:style w:type="table" w:styleId="TableGrid">
    <w:name w:val="Table Grid"/>
    <w:aliases w:val="Document Table,CV1"/>
    <w:basedOn w:val="TableNormal"/>
    <w:uiPriority w:val="39"/>
    <w:rsid w:val="008530D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rsid w:val="008530D4"/>
    <w:pPr>
      <w:keepNext/>
      <w:spacing w:after="480" w:line="240" w:lineRule="auto"/>
      <w:jc w:val="center"/>
    </w:pPr>
    <w:rPr>
      <w:rFonts w:ascii="Times New Roman" w:eastAsia="Times New Roman" w:hAnsi="Times New Roman" w:cs="Times New Roman"/>
      <w:b/>
      <w:sz w:val="32"/>
      <w:szCs w:val="20"/>
    </w:rPr>
  </w:style>
  <w:style w:type="character" w:styleId="Hyperlink">
    <w:name w:val="Hyperlink"/>
    <w:basedOn w:val="DefaultParagraphFont"/>
    <w:uiPriority w:val="99"/>
    <w:unhideWhenUsed/>
    <w:qFormat/>
    <w:rsid w:val="008530D4"/>
    <w:rPr>
      <w:color w:val="0000FF" w:themeColor="hyperlink"/>
      <w:u w:val="single"/>
    </w:rPr>
  </w:style>
  <w:style w:type="character" w:customStyle="1" w:styleId="AnnexTitleChar">
    <w:name w:val="Annex Title Char"/>
    <w:basedOn w:val="DefaultParagraphFont"/>
    <w:link w:val="AnnexTitle"/>
    <w:rsid w:val="008530D4"/>
    <w:rPr>
      <w:rFonts w:ascii="Times New Roman" w:eastAsia="Times New Roman" w:hAnsi="Times New Roman" w:cs="Times New Roman"/>
      <w:b/>
      <w:sz w:val="32"/>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sid w:val="008530D4"/>
    <w:rPr>
      <w:sz w:val="20"/>
      <w:vertAlign w:val="superscript"/>
    </w:rPr>
  </w:style>
  <w:style w:type="paragraph" w:styleId="ListParagraph">
    <w:name w:val="List Paragraph"/>
    <w:aliases w:val="List Paragraph_Sections,Paragraphe EI,Paragraphe de liste1,EC"/>
    <w:basedOn w:val="Normal"/>
    <w:link w:val="ListParagraphChar"/>
    <w:uiPriority w:val="34"/>
    <w:qFormat/>
    <w:rsid w:val="008530D4"/>
    <w:pPr>
      <w:spacing w:after="240" w:line="240" w:lineRule="auto"/>
      <w:ind w:left="720"/>
      <w:contextualSpacing/>
      <w:jc w:val="both"/>
    </w:pPr>
    <w:rPr>
      <w:rFonts w:ascii="Times New Roman" w:eastAsia="Times New Roman" w:hAnsi="Times New Roman" w:cs="Times New Roman"/>
      <w:sz w:val="24"/>
      <w:szCs w:val="20"/>
    </w:rPr>
  </w:style>
  <w:style w:type="table" w:customStyle="1" w:styleId="CV11">
    <w:name w:val="CV11"/>
    <w:basedOn w:val="TableNormal"/>
    <w:next w:val="TableGrid"/>
    <w:uiPriority w:val="39"/>
    <w:rsid w:val="008530D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30D4"/>
    <w:rPr>
      <w:b/>
      <w:bCs/>
    </w:rPr>
  </w:style>
  <w:style w:type="paragraph" w:customStyle="1" w:styleId="Declassification">
    <w:name w:val="Declassification"/>
    <w:basedOn w:val="Normal"/>
    <w:next w:val="Normal"/>
    <w:rsid w:val="00DD4A7B"/>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DD4A7B"/>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DD4A7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DD4A7B"/>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DD4A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3Char">
    <w:name w:val="Heading 3 Char"/>
    <w:basedOn w:val="DefaultParagraphFont"/>
    <w:link w:val="Heading3"/>
    <w:uiPriority w:val="9"/>
    <w:semiHidden/>
    <w:rsid w:val="00147D71"/>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rsid w:val="00147D71"/>
    <w:pPr>
      <w:spacing w:after="100"/>
      <w:ind w:left="220"/>
    </w:pPr>
  </w:style>
  <w:style w:type="paragraph" w:styleId="TOC3">
    <w:name w:val="toc 3"/>
    <w:basedOn w:val="Normal"/>
    <w:next w:val="Normal"/>
    <w:autoRedefine/>
    <w:uiPriority w:val="39"/>
    <w:unhideWhenUsed/>
    <w:rsid w:val="00147D71"/>
    <w:pPr>
      <w:spacing w:after="100" w:line="259" w:lineRule="auto"/>
      <w:ind w:left="440"/>
    </w:pPr>
    <w:rPr>
      <w:rFonts w:eastAsiaTheme="minorEastAsia" w:cs="Times New Roman"/>
      <w:lang w:val="en-US"/>
    </w:rPr>
  </w:style>
  <w:style w:type="character" w:styleId="CommentReference">
    <w:name w:val="annotation reference"/>
    <w:basedOn w:val="DefaultParagraphFont"/>
    <w:uiPriority w:val="99"/>
    <w:semiHidden/>
    <w:unhideWhenUsed/>
    <w:rsid w:val="00E26E79"/>
    <w:rPr>
      <w:sz w:val="16"/>
      <w:szCs w:val="16"/>
    </w:rPr>
  </w:style>
  <w:style w:type="paragraph" w:styleId="CommentText">
    <w:name w:val="annotation text"/>
    <w:basedOn w:val="Normal"/>
    <w:link w:val="CommentTextChar"/>
    <w:uiPriority w:val="99"/>
    <w:unhideWhenUsed/>
    <w:rsid w:val="00E26E79"/>
    <w:pPr>
      <w:spacing w:line="240" w:lineRule="auto"/>
    </w:pPr>
    <w:rPr>
      <w:sz w:val="20"/>
      <w:szCs w:val="20"/>
    </w:rPr>
  </w:style>
  <w:style w:type="character" w:customStyle="1" w:styleId="CommentTextChar">
    <w:name w:val="Comment Text Char"/>
    <w:basedOn w:val="DefaultParagraphFont"/>
    <w:link w:val="CommentText"/>
    <w:uiPriority w:val="99"/>
    <w:rsid w:val="00E26E79"/>
    <w:rPr>
      <w:sz w:val="20"/>
      <w:szCs w:val="20"/>
    </w:rPr>
  </w:style>
  <w:style w:type="paragraph" w:styleId="CommentSubject">
    <w:name w:val="annotation subject"/>
    <w:basedOn w:val="CommentText"/>
    <w:next w:val="CommentText"/>
    <w:link w:val="CommentSubjectChar"/>
    <w:uiPriority w:val="99"/>
    <w:semiHidden/>
    <w:unhideWhenUsed/>
    <w:rsid w:val="00E26E79"/>
    <w:rPr>
      <w:b/>
      <w:bCs/>
    </w:rPr>
  </w:style>
  <w:style w:type="character" w:customStyle="1" w:styleId="CommentSubjectChar">
    <w:name w:val="Comment Subject Char"/>
    <w:basedOn w:val="CommentTextChar"/>
    <w:link w:val="CommentSubject"/>
    <w:uiPriority w:val="99"/>
    <w:semiHidden/>
    <w:rsid w:val="00E26E79"/>
    <w:rPr>
      <w:b/>
      <w:bCs/>
      <w:sz w:val="20"/>
      <w:szCs w:val="20"/>
    </w:rPr>
  </w:style>
  <w:style w:type="paragraph" w:styleId="Revision">
    <w:name w:val="Revision"/>
    <w:hidden/>
    <w:uiPriority w:val="99"/>
    <w:semiHidden/>
    <w:rsid w:val="00E26E79"/>
    <w:pPr>
      <w:spacing w:after="0" w:line="240" w:lineRule="auto"/>
    </w:pPr>
  </w:style>
  <w:style w:type="paragraph" w:styleId="BalloonText">
    <w:name w:val="Balloon Text"/>
    <w:basedOn w:val="Normal"/>
    <w:link w:val="BalloonTextChar"/>
    <w:uiPriority w:val="99"/>
    <w:semiHidden/>
    <w:unhideWhenUsed/>
    <w:rsid w:val="00E26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E79"/>
    <w:rPr>
      <w:rFonts w:ascii="Segoe UI" w:hAnsi="Segoe UI" w:cs="Segoe UI"/>
      <w:sz w:val="18"/>
      <w:szCs w:val="18"/>
    </w:rPr>
  </w:style>
  <w:style w:type="character" w:customStyle="1" w:styleId="ListParagraphChar">
    <w:name w:val="List Paragraph Char"/>
    <w:aliases w:val="List Paragraph_Sections Char,Paragraphe EI Char,Paragraphe de liste1 Char,EC Char"/>
    <w:basedOn w:val="DefaultParagraphFont"/>
    <w:link w:val="ListParagraph"/>
    <w:uiPriority w:val="34"/>
    <w:qFormat/>
    <w:rsid w:val="007522A1"/>
    <w:rPr>
      <w:rFonts w:ascii="Times New Roman" w:eastAsia="Times New Roman" w:hAnsi="Times New Roman" w:cs="Times New Roman"/>
      <w:sz w:val="24"/>
      <w:szCs w:val="20"/>
      <w:lang w:val="en-GB"/>
    </w:rPr>
  </w:style>
  <w:style w:type="table" w:customStyle="1" w:styleId="CV111">
    <w:name w:val="CV111"/>
    <w:basedOn w:val="TableNormal"/>
    <w:next w:val="TableGrid"/>
    <w:uiPriority w:val="39"/>
    <w:rsid w:val="00161A2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1E6B2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E6B2F"/>
    <w:pPr>
      <w:spacing w:after="0"/>
      <w:ind w:left="5103"/>
    </w:pPr>
    <w:rPr>
      <w:rFonts w:ascii="Times New Roman" w:hAnsi="Times New Roman" w:cs="Times New Roman"/>
      <w:sz w:val="28"/>
    </w:rPr>
  </w:style>
  <w:style w:type="paragraph" w:customStyle="1" w:styleId="DateMarking">
    <w:name w:val="DateMarking"/>
    <w:basedOn w:val="Normal"/>
    <w:rsid w:val="001E6B2F"/>
    <w:pPr>
      <w:spacing w:after="0"/>
      <w:ind w:left="5103"/>
    </w:pPr>
    <w:rPr>
      <w:rFonts w:ascii="Times New Roman" w:hAnsi="Times New Roman" w:cs="Times New Roman"/>
      <w:i/>
      <w:sz w:val="28"/>
    </w:rPr>
  </w:style>
  <w:style w:type="paragraph" w:customStyle="1" w:styleId="ReleasableTo">
    <w:name w:val="ReleasableTo"/>
    <w:basedOn w:val="Normal"/>
    <w:rsid w:val="001E6B2F"/>
    <w:pPr>
      <w:spacing w:after="0"/>
      <w:ind w:left="5103"/>
    </w:pPr>
    <w:rPr>
      <w:rFonts w:ascii="Times New Roman" w:hAnsi="Times New Roman" w:cs="Times New Roman"/>
      <w:i/>
      <w:sz w:val="28"/>
    </w:rPr>
  </w:style>
  <w:style w:type="paragraph" w:customStyle="1" w:styleId="HeaderSensitivityRight">
    <w:name w:val="Header Sensitivity Right"/>
    <w:basedOn w:val="Normal"/>
    <w:rsid w:val="001E6B2F"/>
    <w:pPr>
      <w:spacing w:after="120" w:line="240" w:lineRule="auto"/>
      <w:jc w:val="right"/>
    </w:pPr>
    <w:rPr>
      <w:rFonts w:ascii="Times New Roman" w:hAnsi="Times New Roman" w:cs="Times New Roman"/>
      <w:sz w:val="28"/>
    </w:rPr>
  </w:style>
  <w:style w:type="paragraph" w:customStyle="1" w:styleId="Languesfaisantfoi">
    <w:name w:val="Langues faisant foi"/>
    <w:basedOn w:val="Normal"/>
    <w:next w:val="Normal"/>
    <w:rsid w:val="00F84165"/>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F84165"/>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F84165"/>
    <w:pPr>
      <w:spacing w:after="0"/>
    </w:pPr>
  </w:style>
  <w:style w:type="paragraph" w:customStyle="1" w:styleId="IntrtEEEPagedecouverture">
    <w:name w:val="Intérêt EEE (Page de couverture)"/>
    <w:basedOn w:val="IntrtEEE"/>
    <w:next w:val="Normal"/>
    <w:rsid w:val="00F84165"/>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qFormat/>
    <w:rsid w:val="00F84165"/>
    <w:pPr>
      <w:spacing w:after="160" w:line="240" w:lineRule="exact"/>
    </w:pPr>
    <w:rPr>
      <w:sz w:val="20"/>
      <w:vertAlign w:val="superscript"/>
    </w:rPr>
  </w:style>
  <w:style w:type="character" w:customStyle="1" w:styleId="Mention">
    <w:name w:val="Mention"/>
    <w:basedOn w:val="DefaultParagraphFont"/>
    <w:uiPriority w:val="99"/>
    <w:unhideWhenUsed/>
    <w:rsid w:val="00C1622F"/>
    <w:rPr>
      <w:color w:val="2B579A"/>
      <w:shd w:val="clear" w:color="auto" w:fill="E1DFDD"/>
    </w:rPr>
  </w:style>
  <w:style w:type="character" w:customStyle="1" w:styleId="Heading4Char">
    <w:name w:val="Heading 4 Char"/>
    <w:basedOn w:val="DefaultParagraphFont"/>
    <w:link w:val="Heading4"/>
    <w:uiPriority w:val="9"/>
    <w:rsid w:val="00B35E49"/>
    <w:rPr>
      <w:rFonts w:asciiTheme="majorHAnsi" w:eastAsiaTheme="majorEastAsia" w:hAnsiTheme="majorHAnsi" w:cstheme="majorBidi"/>
      <w:i/>
      <w:iCs/>
      <w:color w:val="365F91" w:themeColor="accent1" w:themeShade="BF"/>
    </w:rPr>
  </w:style>
  <w:style w:type="paragraph" w:styleId="Caption">
    <w:name w:val="caption"/>
    <w:aliases w:val="Caption PSP,Caption - Centre Graphic,Char Char Char,Caption1 Char Char Char Char Char Char Char Char,Caption1 Char Char Char Char Char Char Char Char Tegn Tegn Tegn Tegn Tegn,Caption1 Char Char Char Char Char Char Char Char Tegn Tegn Tegn,C"/>
    <w:basedOn w:val="Normal"/>
    <w:next w:val="Normal"/>
    <w:uiPriority w:val="35"/>
    <w:qFormat/>
    <w:rsid w:val="00174A94"/>
    <w:pPr>
      <w:keepNext/>
      <w:spacing w:after="240" w:line="240" w:lineRule="auto"/>
      <w:jc w:val="both"/>
    </w:pPr>
    <w:rPr>
      <w:rFonts w:ascii="Calibri" w:hAnsi="Calibri"/>
      <w:iCs/>
      <w:color w:val="F79646" w:themeColor="accent6"/>
      <w:sz w:val="17"/>
      <w:szCs w:val="18"/>
    </w:rPr>
  </w:style>
  <w:style w:type="table" w:customStyle="1" w:styleId="Deloittetable">
    <w:name w:val="Deloitte table"/>
    <w:basedOn w:val="TableNormal"/>
    <w:uiPriority w:val="99"/>
    <w:rsid w:val="00C0229B"/>
    <w:pPr>
      <w:spacing w:after="0" w:line="240" w:lineRule="auto"/>
    </w:pPr>
    <w:rPr>
      <w:sz w:val="17"/>
      <w:lang w:val="en-GB"/>
    </w:rPr>
    <w:tblPr/>
  </w:style>
  <w:style w:type="table" w:customStyle="1" w:styleId="Deloittetable4">
    <w:name w:val="Deloitte table4"/>
    <w:basedOn w:val="TableNormal"/>
    <w:uiPriority w:val="99"/>
    <w:rsid w:val="00C87C82"/>
    <w:pPr>
      <w:spacing w:after="0" w:line="240" w:lineRule="auto"/>
    </w:pPr>
    <w:rPr>
      <w:sz w:val="17"/>
      <w:lang w:val="en-GB"/>
    </w:rPr>
    <w:tblPr/>
  </w:style>
  <w:style w:type="character" w:customStyle="1" w:styleId="ui-provider">
    <w:name w:val="ui-provider"/>
    <w:basedOn w:val="DefaultParagraphFont"/>
    <w:rsid w:val="00C87C82"/>
  </w:style>
  <w:style w:type="table" w:customStyle="1" w:styleId="Deloittetable7">
    <w:name w:val="Deloitte table7"/>
    <w:basedOn w:val="TableNormal"/>
    <w:uiPriority w:val="99"/>
    <w:rsid w:val="00C87C82"/>
    <w:pPr>
      <w:spacing w:after="0" w:line="240" w:lineRule="auto"/>
    </w:pPr>
    <w:rPr>
      <w:sz w:val="17"/>
      <w:lang w:val="en-GB"/>
    </w:rPr>
    <w:tblPr/>
  </w:style>
  <w:style w:type="table" w:customStyle="1" w:styleId="Deloittetable611">
    <w:name w:val="Deloitte table611"/>
    <w:basedOn w:val="TableNormal"/>
    <w:uiPriority w:val="99"/>
    <w:rsid w:val="00C87C82"/>
    <w:pPr>
      <w:spacing w:after="0" w:line="240" w:lineRule="auto"/>
    </w:pPr>
    <w:rPr>
      <w:sz w:val="17"/>
      <w:lang w:val="en-GB"/>
    </w:rPr>
    <w:tblPr/>
  </w:style>
  <w:style w:type="table" w:customStyle="1" w:styleId="Deloittetable6">
    <w:name w:val="Deloitte table6"/>
    <w:basedOn w:val="TableNormal"/>
    <w:uiPriority w:val="99"/>
    <w:rsid w:val="00C87C82"/>
    <w:pPr>
      <w:spacing w:after="0" w:line="240" w:lineRule="auto"/>
    </w:pPr>
    <w:rPr>
      <w:sz w:val="17"/>
      <w:lang w:val="en-GB"/>
    </w:rPr>
    <w:tblPr/>
  </w:style>
  <w:style w:type="character" w:customStyle="1" w:styleId="normaltextrun">
    <w:name w:val="normaltextrun"/>
    <w:basedOn w:val="DefaultParagraphFont"/>
    <w:rsid w:val="00E5362A"/>
  </w:style>
  <w:style w:type="character" w:customStyle="1" w:styleId="eop">
    <w:name w:val="eop"/>
    <w:basedOn w:val="DefaultParagraphFont"/>
    <w:rsid w:val="00E5362A"/>
  </w:style>
  <w:style w:type="character" w:styleId="FollowedHyperlink">
    <w:name w:val="FollowedHyperlink"/>
    <w:basedOn w:val="DefaultParagraphFont"/>
    <w:uiPriority w:val="99"/>
    <w:semiHidden/>
    <w:unhideWhenUsed/>
    <w:rsid w:val="009121DB"/>
    <w:rPr>
      <w:color w:val="800080" w:themeColor="followedHyperlink"/>
      <w:u w:val="single"/>
    </w:rPr>
  </w:style>
  <w:style w:type="character" w:customStyle="1" w:styleId="UnresolvedMention">
    <w:name w:val="Unresolved Mention"/>
    <w:basedOn w:val="DefaultParagraphFont"/>
    <w:uiPriority w:val="99"/>
    <w:semiHidden/>
    <w:unhideWhenUsed/>
    <w:rsid w:val="00213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53031">
      <w:bodyDiv w:val="1"/>
      <w:marLeft w:val="0"/>
      <w:marRight w:val="0"/>
      <w:marTop w:val="0"/>
      <w:marBottom w:val="0"/>
      <w:divBdr>
        <w:top w:val="none" w:sz="0" w:space="0" w:color="auto"/>
        <w:left w:val="none" w:sz="0" w:space="0" w:color="auto"/>
        <w:bottom w:val="none" w:sz="0" w:space="0" w:color="auto"/>
        <w:right w:val="none" w:sz="0" w:space="0" w:color="auto"/>
      </w:divBdr>
      <w:divsChild>
        <w:div w:id="590315058">
          <w:marLeft w:val="0"/>
          <w:marRight w:val="0"/>
          <w:marTop w:val="0"/>
          <w:marBottom w:val="0"/>
          <w:divBdr>
            <w:top w:val="none" w:sz="0" w:space="0" w:color="auto"/>
            <w:left w:val="none" w:sz="0" w:space="0" w:color="auto"/>
            <w:bottom w:val="none" w:sz="0" w:space="0" w:color="auto"/>
            <w:right w:val="none" w:sz="0" w:space="0" w:color="auto"/>
          </w:divBdr>
        </w:div>
        <w:div w:id="937983383">
          <w:marLeft w:val="0"/>
          <w:marRight w:val="0"/>
          <w:marTop w:val="0"/>
          <w:marBottom w:val="0"/>
          <w:divBdr>
            <w:top w:val="none" w:sz="0" w:space="0" w:color="auto"/>
            <w:left w:val="none" w:sz="0" w:space="0" w:color="auto"/>
            <w:bottom w:val="none" w:sz="0" w:space="0" w:color="auto"/>
            <w:right w:val="none" w:sz="0" w:space="0" w:color="auto"/>
          </w:divBdr>
        </w:div>
        <w:div w:id="1068962737">
          <w:marLeft w:val="0"/>
          <w:marRight w:val="0"/>
          <w:marTop w:val="0"/>
          <w:marBottom w:val="0"/>
          <w:divBdr>
            <w:top w:val="none" w:sz="0" w:space="0" w:color="auto"/>
            <w:left w:val="none" w:sz="0" w:space="0" w:color="auto"/>
            <w:bottom w:val="none" w:sz="0" w:space="0" w:color="auto"/>
            <w:right w:val="none" w:sz="0" w:space="0" w:color="auto"/>
          </w:divBdr>
        </w:div>
        <w:div w:id="1533112602">
          <w:marLeft w:val="0"/>
          <w:marRight w:val="0"/>
          <w:marTop w:val="0"/>
          <w:marBottom w:val="0"/>
          <w:divBdr>
            <w:top w:val="none" w:sz="0" w:space="0" w:color="auto"/>
            <w:left w:val="none" w:sz="0" w:space="0" w:color="auto"/>
            <w:bottom w:val="none" w:sz="0" w:space="0" w:color="auto"/>
            <w:right w:val="none" w:sz="0" w:space="0" w:color="auto"/>
          </w:divBdr>
          <w:divsChild>
            <w:div w:id="274413234">
              <w:marLeft w:val="-75"/>
              <w:marRight w:val="0"/>
              <w:marTop w:val="30"/>
              <w:marBottom w:val="30"/>
              <w:divBdr>
                <w:top w:val="none" w:sz="0" w:space="0" w:color="auto"/>
                <w:left w:val="none" w:sz="0" w:space="0" w:color="auto"/>
                <w:bottom w:val="none" w:sz="0" w:space="0" w:color="auto"/>
                <w:right w:val="none" w:sz="0" w:space="0" w:color="auto"/>
              </w:divBdr>
              <w:divsChild>
                <w:div w:id="64572408">
                  <w:marLeft w:val="0"/>
                  <w:marRight w:val="0"/>
                  <w:marTop w:val="0"/>
                  <w:marBottom w:val="0"/>
                  <w:divBdr>
                    <w:top w:val="none" w:sz="0" w:space="0" w:color="auto"/>
                    <w:left w:val="none" w:sz="0" w:space="0" w:color="auto"/>
                    <w:bottom w:val="none" w:sz="0" w:space="0" w:color="auto"/>
                    <w:right w:val="none" w:sz="0" w:space="0" w:color="auto"/>
                  </w:divBdr>
                  <w:divsChild>
                    <w:div w:id="2020351922">
                      <w:marLeft w:val="0"/>
                      <w:marRight w:val="0"/>
                      <w:marTop w:val="0"/>
                      <w:marBottom w:val="0"/>
                      <w:divBdr>
                        <w:top w:val="none" w:sz="0" w:space="0" w:color="auto"/>
                        <w:left w:val="none" w:sz="0" w:space="0" w:color="auto"/>
                        <w:bottom w:val="none" w:sz="0" w:space="0" w:color="auto"/>
                        <w:right w:val="none" w:sz="0" w:space="0" w:color="auto"/>
                      </w:divBdr>
                    </w:div>
                  </w:divsChild>
                </w:div>
                <w:div w:id="129979137">
                  <w:marLeft w:val="0"/>
                  <w:marRight w:val="0"/>
                  <w:marTop w:val="0"/>
                  <w:marBottom w:val="0"/>
                  <w:divBdr>
                    <w:top w:val="none" w:sz="0" w:space="0" w:color="auto"/>
                    <w:left w:val="none" w:sz="0" w:space="0" w:color="auto"/>
                    <w:bottom w:val="none" w:sz="0" w:space="0" w:color="auto"/>
                    <w:right w:val="none" w:sz="0" w:space="0" w:color="auto"/>
                  </w:divBdr>
                  <w:divsChild>
                    <w:div w:id="1326520085">
                      <w:marLeft w:val="0"/>
                      <w:marRight w:val="0"/>
                      <w:marTop w:val="0"/>
                      <w:marBottom w:val="0"/>
                      <w:divBdr>
                        <w:top w:val="none" w:sz="0" w:space="0" w:color="auto"/>
                        <w:left w:val="none" w:sz="0" w:space="0" w:color="auto"/>
                        <w:bottom w:val="none" w:sz="0" w:space="0" w:color="auto"/>
                        <w:right w:val="none" w:sz="0" w:space="0" w:color="auto"/>
                      </w:divBdr>
                    </w:div>
                  </w:divsChild>
                </w:div>
                <w:div w:id="131484483">
                  <w:marLeft w:val="0"/>
                  <w:marRight w:val="0"/>
                  <w:marTop w:val="0"/>
                  <w:marBottom w:val="0"/>
                  <w:divBdr>
                    <w:top w:val="none" w:sz="0" w:space="0" w:color="auto"/>
                    <w:left w:val="none" w:sz="0" w:space="0" w:color="auto"/>
                    <w:bottom w:val="none" w:sz="0" w:space="0" w:color="auto"/>
                    <w:right w:val="none" w:sz="0" w:space="0" w:color="auto"/>
                  </w:divBdr>
                  <w:divsChild>
                    <w:div w:id="1199972044">
                      <w:marLeft w:val="0"/>
                      <w:marRight w:val="0"/>
                      <w:marTop w:val="0"/>
                      <w:marBottom w:val="0"/>
                      <w:divBdr>
                        <w:top w:val="none" w:sz="0" w:space="0" w:color="auto"/>
                        <w:left w:val="none" w:sz="0" w:space="0" w:color="auto"/>
                        <w:bottom w:val="none" w:sz="0" w:space="0" w:color="auto"/>
                        <w:right w:val="none" w:sz="0" w:space="0" w:color="auto"/>
                      </w:divBdr>
                    </w:div>
                  </w:divsChild>
                </w:div>
                <w:div w:id="339429390">
                  <w:marLeft w:val="0"/>
                  <w:marRight w:val="0"/>
                  <w:marTop w:val="0"/>
                  <w:marBottom w:val="0"/>
                  <w:divBdr>
                    <w:top w:val="none" w:sz="0" w:space="0" w:color="auto"/>
                    <w:left w:val="none" w:sz="0" w:space="0" w:color="auto"/>
                    <w:bottom w:val="none" w:sz="0" w:space="0" w:color="auto"/>
                    <w:right w:val="none" w:sz="0" w:space="0" w:color="auto"/>
                  </w:divBdr>
                  <w:divsChild>
                    <w:div w:id="1473408168">
                      <w:marLeft w:val="0"/>
                      <w:marRight w:val="0"/>
                      <w:marTop w:val="0"/>
                      <w:marBottom w:val="0"/>
                      <w:divBdr>
                        <w:top w:val="none" w:sz="0" w:space="0" w:color="auto"/>
                        <w:left w:val="none" w:sz="0" w:space="0" w:color="auto"/>
                        <w:bottom w:val="none" w:sz="0" w:space="0" w:color="auto"/>
                        <w:right w:val="none" w:sz="0" w:space="0" w:color="auto"/>
                      </w:divBdr>
                    </w:div>
                  </w:divsChild>
                </w:div>
                <w:div w:id="342170875">
                  <w:marLeft w:val="0"/>
                  <w:marRight w:val="0"/>
                  <w:marTop w:val="0"/>
                  <w:marBottom w:val="0"/>
                  <w:divBdr>
                    <w:top w:val="none" w:sz="0" w:space="0" w:color="auto"/>
                    <w:left w:val="none" w:sz="0" w:space="0" w:color="auto"/>
                    <w:bottom w:val="none" w:sz="0" w:space="0" w:color="auto"/>
                    <w:right w:val="none" w:sz="0" w:space="0" w:color="auto"/>
                  </w:divBdr>
                  <w:divsChild>
                    <w:div w:id="253828145">
                      <w:marLeft w:val="0"/>
                      <w:marRight w:val="0"/>
                      <w:marTop w:val="0"/>
                      <w:marBottom w:val="0"/>
                      <w:divBdr>
                        <w:top w:val="none" w:sz="0" w:space="0" w:color="auto"/>
                        <w:left w:val="none" w:sz="0" w:space="0" w:color="auto"/>
                        <w:bottom w:val="none" w:sz="0" w:space="0" w:color="auto"/>
                        <w:right w:val="none" w:sz="0" w:space="0" w:color="auto"/>
                      </w:divBdr>
                    </w:div>
                  </w:divsChild>
                </w:div>
                <w:div w:id="366611765">
                  <w:marLeft w:val="0"/>
                  <w:marRight w:val="0"/>
                  <w:marTop w:val="0"/>
                  <w:marBottom w:val="0"/>
                  <w:divBdr>
                    <w:top w:val="none" w:sz="0" w:space="0" w:color="auto"/>
                    <w:left w:val="none" w:sz="0" w:space="0" w:color="auto"/>
                    <w:bottom w:val="none" w:sz="0" w:space="0" w:color="auto"/>
                    <w:right w:val="none" w:sz="0" w:space="0" w:color="auto"/>
                  </w:divBdr>
                  <w:divsChild>
                    <w:div w:id="1472284781">
                      <w:marLeft w:val="0"/>
                      <w:marRight w:val="0"/>
                      <w:marTop w:val="0"/>
                      <w:marBottom w:val="0"/>
                      <w:divBdr>
                        <w:top w:val="none" w:sz="0" w:space="0" w:color="auto"/>
                        <w:left w:val="none" w:sz="0" w:space="0" w:color="auto"/>
                        <w:bottom w:val="none" w:sz="0" w:space="0" w:color="auto"/>
                        <w:right w:val="none" w:sz="0" w:space="0" w:color="auto"/>
                      </w:divBdr>
                    </w:div>
                  </w:divsChild>
                </w:div>
                <w:div w:id="427432339">
                  <w:marLeft w:val="0"/>
                  <w:marRight w:val="0"/>
                  <w:marTop w:val="0"/>
                  <w:marBottom w:val="0"/>
                  <w:divBdr>
                    <w:top w:val="none" w:sz="0" w:space="0" w:color="auto"/>
                    <w:left w:val="none" w:sz="0" w:space="0" w:color="auto"/>
                    <w:bottom w:val="none" w:sz="0" w:space="0" w:color="auto"/>
                    <w:right w:val="none" w:sz="0" w:space="0" w:color="auto"/>
                  </w:divBdr>
                  <w:divsChild>
                    <w:div w:id="667516257">
                      <w:marLeft w:val="0"/>
                      <w:marRight w:val="0"/>
                      <w:marTop w:val="0"/>
                      <w:marBottom w:val="0"/>
                      <w:divBdr>
                        <w:top w:val="none" w:sz="0" w:space="0" w:color="auto"/>
                        <w:left w:val="none" w:sz="0" w:space="0" w:color="auto"/>
                        <w:bottom w:val="none" w:sz="0" w:space="0" w:color="auto"/>
                        <w:right w:val="none" w:sz="0" w:space="0" w:color="auto"/>
                      </w:divBdr>
                    </w:div>
                  </w:divsChild>
                </w:div>
                <w:div w:id="433748899">
                  <w:marLeft w:val="0"/>
                  <w:marRight w:val="0"/>
                  <w:marTop w:val="0"/>
                  <w:marBottom w:val="0"/>
                  <w:divBdr>
                    <w:top w:val="none" w:sz="0" w:space="0" w:color="auto"/>
                    <w:left w:val="none" w:sz="0" w:space="0" w:color="auto"/>
                    <w:bottom w:val="none" w:sz="0" w:space="0" w:color="auto"/>
                    <w:right w:val="none" w:sz="0" w:space="0" w:color="auto"/>
                  </w:divBdr>
                  <w:divsChild>
                    <w:div w:id="781917490">
                      <w:marLeft w:val="0"/>
                      <w:marRight w:val="0"/>
                      <w:marTop w:val="0"/>
                      <w:marBottom w:val="0"/>
                      <w:divBdr>
                        <w:top w:val="none" w:sz="0" w:space="0" w:color="auto"/>
                        <w:left w:val="none" w:sz="0" w:space="0" w:color="auto"/>
                        <w:bottom w:val="none" w:sz="0" w:space="0" w:color="auto"/>
                        <w:right w:val="none" w:sz="0" w:space="0" w:color="auto"/>
                      </w:divBdr>
                    </w:div>
                  </w:divsChild>
                </w:div>
                <w:div w:id="436605294">
                  <w:marLeft w:val="0"/>
                  <w:marRight w:val="0"/>
                  <w:marTop w:val="0"/>
                  <w:marBottom w:val="0"/>
                  <w:divBdr>
                    <w:top w:val="none" w:sz="0" w:space="0" w:color="auto"/>
                    <w:left w:val="none" w:sz="0" w:space="0" w:color="auto"/>
                    <w:bottom w:val="none" w:sz="0" w:space="0" w:color="auto"/>
                    <w:right w:val="none" w:sz="0" w:space="0" w:color="auto"/>
                  </w:divBdr>
                  <w:divsChild>
                    <w:div w:id="510531626">
                      <w:marLeft w:val="0"/>
                      <w:marRight w:val="0"/>
                      <w:marTop w:val="0"/>
                      <w:marBottom w:val="0"/>
                      <w:divBdr>
                        <w:top w:val="none" w:sz="0" w:space="0" w:color="auto"/>
                        <w:left w:val="none" w:sz="0" w:space="0" w:color="auto"/>
                        <w:bottom w:val="none" w:sz="0" w:space="0" w:color="auto"/>
                        <w:right w:val="none" w:sz="0" w:space="0" w:color="auto"/>
                      </w:divBdr>
                    </w:div>
                  </w:divsChild>
                </w:div>
                <w:div w:id="483163373">
                  <w:marLeft w:val="0"/>
                  <w:marRight w:val="0"/>
                  <w:marTop w:val="0"/>
                  <w:marBottom w:val="0"/>
                  <w:divBdr>
                    <w:top w:val="none" w:sz="0" w:space="0" w:color="auto"/>
                    <w:left w:val="none" w:sz="0" w:space="0" w:color="auto"/>
                    <w:bottom w:val="none" w:sz="0" w:space="0" w:color="auto"/>
                    <w:right w:val="none" w:sz="0" w:space="0" w:color="auto"/>
                  </w:divBdr>
                  <w:divsChild>
                    <w:div w:id="183448470">
                      <w:marLeft w:val="0"/>
                      <w:marRight w:val="0"/>
                      <w:marTop w:val="0"/>
                      <w:marBottom w:val="0"/>
                      <w:divBdr>
                        <w:top w:val="none" w:sz="0" w:space="0" w:color="auto"/>
                        <w:left w:val="none" w:sz="0" w:space="0" w:color="auto"/>
                        <w:bottom w:val="none" w:sz="0" w:space="0" w:color="auto"/>
                        <w:right w:val="none" w:sz="0" w:space="0" w:color="auto"/>
                      </w:divBdr>
                    </w:div>
                  </w:divsChild>
                </w:div>
                <w:div w:id="596795529">
                  <w:marLeft w:val="0"/>
                  <w:marRight w:val="0"/>
                  <w:marTop w:val="0"/>
                  <w:marBottom w:val="0"/>
                  <w:divBdr>
                    <w:top w:val="none" w:sz="0" w:space="0" w:color="auto"/>
                    <w:left w:val="none" w:sz="0" w:space="0" w:color="auto"/>
                    <w:bottom w:val="none" w:sz="0" w:space="0" w:color="auto"/>
                    <w:right w:val="none" w:sz="0" w:space="0" w:color="auto"/>
                  </w:divBdr>
                  <w:divsChild>
                    <w:div w:id="1157107227">
                      <w:marLeft w:val="0"/>
                      <w:marRight w:val="0"/>
                      <w:marTop w:val="0"/>
                      <w:marBottom w:val="0"/>
                      <w:divBdr>
                        <w:top w:val="none" w:sz="0" w:space="0" w:color="auto"/>
                        <w:left w:val="none" w:sz="0" w:space="0" w:color="auto"/>
                        <w:bottom w:val="none" w:sz="0" w:space="0" w:color="auto"/>
                        <w:right w:val="none" w:sz="0" w:space="0" w:color="auto"/>
                      </w:divBdr>
                    </w:div>
                  </w:divsChild>
                </w:div>
                <w:div w:id="606084219">
                  <w:marLeft w:val="0"/>
                  <w:marRight w:val="0"/>
                  <w:marTop w:val="0"/>
                  <w:marBottom w:val="0"/>
                  <w:divBdr>
                    <w:top w:val="none" w:sz="0" w:space="0" w:color="auto"/>
                    <w:left w:val="none" w:sz="0" w:space="0" w:color="auto"/>
                    <w:bottom w:val="none" w:sz="0" w:space="0" w:color="auto"/>
                    <w:right w:val="none" w:sz="0" w:space="0" w:color="auto"/>
                  </w:divBdr>
                  <w:divsChild>
                    <w:div w:id="979579842">
                      <w:marLeft w:val="0"/>
                      <w:marRight w:val="0"/>
                      <w:marTop w:val="0"/>
                      <w:marBottom w:val="0"/>
                      <w:divBdr>
                        <w:top w:val="none" w:sz="0" w:space="0" w:color="auto"/>
                        <w:left w:val="none" w:sz="0" w:space="0" w:color="auto"/>
                        <w:bottom w:val="none" w:sz="0" w:space="0" w:color="auto"/>
                        <w:right w:val="none" w:sz="0" w:space="0" w:color="auto"/>
                      </w:divBdr>
                    </w:div>
                  </w:divsChild>
                </w:div>
                <w:div w:id="675112482">
                  <w:marLeft w:val="0"/>
                  <w:marRight w:val="0"/>
                  <w:marTop w:val="0"/>
                  <w:marBottom w:val="0"/>
                  <w:divBdr>
                    <w:top w:val="none" w:sz="0" w:space="0" w:color="auto"/>
                    <w:left w:val="none" w:sz="0" w:space="0" w:color="auto"/>
                    <w:bottom w:val="none" w:sz="0" w:space="0" w:color="auto"/>
                    <w:right w:val="none" w:sz="0" w:space="0" w:color="auto"/>
                  </w:divBdr>
                  <w:divsChild>
                    <w:div w:id="956061079">
                      <w:marLeft w:val="0"/>
                      <w:marRight w:val="0"/>
                      <w:marTop w:val="0"/>
                      <w:marBottom w:val="0"/>
                      <w:divBdr>
                        <w:top w:val="none" w:sz="0" w:space="0" w:color="auto"/>
                        <w:left w:val="none" w:sz="0" w:space="0" w:color="auto"/>
                        <w:bottom w:val="none" w:sz="0" w:space="0" w:color="auto"/>
                        <w:right w:val="none" w:sz="0" w:space="0" w:color="auto"/>
                      </w:divBdr>
                    </w:div>
                  </w:divsChild>
                </w:div>
                <w:div w:id="818037457">
                  <w:marLeft w:val="0"/>
                  <w:marRight w:val="0"/>
                  <w:marTop w:val="0"/>
                  <w:marBottom w:val="0"/>
                  <w:divBdr>
                    <w:top w:val="none" w:sz="0" w:space="0" w:color="auto"/>
                    <w:left w:val="none" w:sz="0" w:space="0" w:color="auto"/>
                    <w:bottom w:val="none" w:sz="0" w:space="0" w:color="auto"/>
                    <w:right w:val="none" w:sz="0" w:space="0" w:color="auto"/>
                  </w:divBdr>
                  <w:divsChild>
                    <w:div w:id="607584297">
                      <w:marLeft w:val="0"/>
                      <w:marRight w:val="0"/>
                      <w:marTop w:val="0"/>
                      <w:marBottom w:val="0"/>
                      <w:divBdr>
                        <w:top w:val="none" w:sz="0" w:space="0" w:color="auto"/>
                        <w:left w:val="none" w:sz="0" w:space="0" w:color="auto"/>
                        <w:bottom w:val="none" w:sz="0" w:space="0" w:color="auto"/>
                        <w:right w:val="none" w:sz="0" w:space="0" w:color="auto"/>
                      </w:divBdr>
                    </w:div>
                  </w:divsChild>
                </w:div>
                <w:div w:id="819347062">
                  <w:marLeft w:val="0"/>
                  <w:marRight w:val="0"/>
                  <w:marTop w:val="0"/>
                  <w:marBottom w:val="0"/>
                  <w:divBdr>
                    <w:top w:val="none" w:sz="0" w:space="0" w:color="auto"/>
                    <w:left w:val="none" w:sz="0" w:space="0" w:color="auto"/>
                    <w:bottom w:val="none" w:sz="0" w:space="0" w:color="auto"/>
                    <w:right w:val="none" w:sz="0" w:space="0" w:color="auto"/>
                  </w:divBdr>
                  <w:divsChild>
                    <w:div w:id="1602372327">
                      <w:marLeft w:val="0"/>
                      <w:marRight w:val="0"/>
                      <w:marTop w:val="0"/>
                      <w:marBottom w:val="0"/>
                      <w:divBdr>
                        <w:top w:val="none" w:sz="0" w:space="0" w:color="auto"/>
                        <w:left w:val="none" w:sz="0" w:space="0" w:color="auto"/>
                        <w:bottom w:val="none" w:sz="0" w:space="0" w:color="auto"/>
                        <w:right w:val="none" w:sz="0" w:space="0" w:color="auto"/>
                      </w:divBdr>
                    </w:div>
                  </w:divsChild>
                </w:div>
                <w:div w:id="836306032">
                  <w:marLeft w:val="0"/>
                  <w:marRight w:val="0"/>
                  <w:marTop w:val="0"/>
                  <w:marBottom w:val="0"/>
                  <w:divBdr>
                    <w:top w:val="none" w:sz="0" w:space="0" w:color="auto"/>
                    <w:left w:val="none" w:sz="0" w:space="0" w:color="auto"/>
                    <w:bottom w:val="none" w:sz="0" w:space="0" w:color="auto"/>
                    <w:right w:val="none" w:sz="0" w:space="0" w:color="auto"/>
                  </w:divBdr>
                  <w:divsChild>
                    <w:div w:id="1755973327">
                      <w:marLeft w:val="0"/>
                      <w:marRight w:val="0"/>
                      <w:marTop w:val="0"/>
                      <w:marBottom w:val="0"/>
                      <w:divBdr>
                        <w:top w:val="none" w:sz="0" w:space="0" w:color="auto"/>
                        <w:left w:val="none" w:sz="0" w:space="0" w:color="auto"/>
                        <w:bottom w:val="none" w:sz="0" w:space="0" w:color="auto"/>
                        <w:right w:val="none" w:sz="0" w:space="0" w:color="auto"/>
                      </w:divBdr>
                    </w:div>
                  </w:divsChild>
                </w:div>
                <w:div w:id="855734209">
                  <w:marLeft w:val="0"/>
                  <w:marRight w:val="0"/>
                  <w:marTop w:val="0"/>
                  <w:marBottom w:val="0"/>
                  <w:divBdr>
                    <w:top w:val="none" w:sz="0" w:space="0" w:color="auto"/>
                    <w:left w:val="none" w:sz="0" w:space="0" w:color="auto"/>
                    <w:bottom w:val="none" w:sz="0" w:space="0" w:color="auto"/>
                    <w:right w:val="none" w:sz="0" w:space="0" w:color="auto"/>
                  </w:divBdr>
                  <w:divsChild>
                    <w:div w:id="1583099979">
                      <w:marLeft w:val="0"/>
                      <w:marRight w:val="0"/>
                      <w:marTop w:val="0"/>
                      <w:marBottom w:val="0"/>
                      <w:divBdr>
                        <w:top w:val="none" w:sz="0" w:space="0" w:color="auto"/>
                        <w:left w:val="none" w:sz="0" w:space="0" w:color="auto"/>
                        <w:bottom w:val="none" w:sz="0" w:space="0" w:color="auto"/>
                        <w:right w:val="none" w:sz="0" w:space="0" w:color="auto"/>
                      </w:divBdr>
                    </w:div>
                  </w:divsChild>
                </w:div>
                <w:div w:id="879820998">
                  <w:marLeft w:val="0"/>
                  <w:marRight w:val="0"/>
                  <w:marTop w:val="0"/>
                  <w:marBottom w:val="0"/>
                  <w:divBdr>
                    <w:top w:val="none" w:sz="0" w:space="0" w:color="auto"/>
                    <w:left w:val="none" w:sz="0" w:space="0" w:color="auto"/>
                    <w:bottom w:val="none" w:sz="0" w:space="0" w:color="auto"/>
                    <w:right w:val="none" w:sz="0" w:space="0" w:color="auto"/>
                  </w:divBdr>
                  <w:divsChild>
                    <w:div w:id="1481653897">
                      <w:marLeft w:val="0"/>
                      <w:marRight w:val="0"/>
                      <w:marTop w:val="0"/>
                      <w:marBottom w:val="0"/>
                      <w:divBdr>
                        <w:top w:val="none" w:sz="0" w:space="0" w:color="auto"/>
                        <w:left w:val="none" w:sz="0" w:space="0" w:color="auto"/>
                        <w:bottom w:val="none" w:sz="0" w:space="0" w:color="auto"/>
                        <w:right w:val="none" w:sz="0" w:space="0" w:color="auto"/>
                      </w:divBdr>
                    </w:div>
                  </w:divsChild>
                </w:div>
                <w:div w:id="939529025">
                  <w:marLeft w:val="0"/>
                  <w:marRight w:val="0"/>
                  <w:marTop w:val="0"/>
                  <w:marBottom w:val="0"/>
                  <w:divBdr>
                    <w:top w:val="none" w:sz="0" w:space="0" w:color="auto"/>
                    <w:left w:val="none" w:sz="0" w:space="0" w:color="auto"/>
                    <w:bottom w:val="none" w:sz="0" w:space="0" w:color="auto"/>
                    <w:right w:val="none" w:sz="0" w:space="0" w:color="auto"/>
                  </w:divBdr>
                  <w:divsChild>
                    <w:div w:id="1177382301">
                      <w:marLeft w:val="0"/>
                      <w:marRight w:val="0"/>
                      <w:marTop w:val="0"/>
                      <w:marBottom w:val="0"/>
                      <w:divBdr>
                        <w:top w:val="none" w:sz="0" w:space="0" w:color="auto"/>
                        <w:left w:val="none" w:sz="0" w:space="0" w:color="auto"/>
                        <w:bottom w:val="none" w:sz="0" w:space="0" w:color="auto"/>
                        <w:right w:val="none" w:sz="0" w:space="0" w:color="auto"/>
                      </w:divBdr>
                    </w:div>
                  </w:divsChild>
                </w:div>
                <w:div w:id="1000699564">
                  <w:marLeft w:val="0"/>
                  <w:marRight w:val="0"/>
                  <w:marTop w:val="0"/>
                  <w:marBottom w:val="0"/>
                  <w:divBdr>
                    <w:top w:val="none" w:sz="0" w:space="0" w:color="auto"/>
                    <w:left w:val="none" w:sz="0" w:space="0" w:color="auto"/>
                    <w:bottom w:val="none" w:sz="0" w:space="0" w:color="auto"/>
                    <w:right w:val="none" w:sz="0" w:space="0" w:color="auto"/>
                  </w:divBdr>
                  <w:divsChild>
                    <w:div w:id="586965474">
                      <w:marLeft w:val="0"/>
                      <w:marRight w:val="0"/>
                      <w:marTop w:val="0"/>
                      <w:marBottom w:val="0"/>
                      <w:divBdr>
                        <w:top w:val="none" w:sz="0" w:space="0" w:color="auto"/>
                        <w:left w:val="none" w:sz="0" w:space="0" w:color="auto"/>
                        <w:bottom w:val="none" w:sz="0" w:space="0" w:color="auto"/>
                        <w:right w:val="none" w:sz="0" w:space="0" w:color="auto"/>
                      </w:divBdr>
                    </w:div>
                  </w:divsChild>
                </w:div>
                <w:div w:id="1005939994">
                  <w:marLeft w:val="0"/>
                  <w:marRight w:val="0"/>
                  <w:marTop w:val="0"/>
                  <w:marBottom w:val="0"/>
                  <w:divBdr>
                    <w:top w:val="none" w:sz="0" w:space="0" w:color="auto"/>
                    <w:left w:val="none" w:sz="0" w:space="0" w:color="auto"/>
                    <w:bottom w:val="none" w:sz="0" w:space="0" w:color="auto"/>
                    <w:right w:val="none" w:sz="0" w:space="0" w:color="auto"/>
                  </w:divBdr>
                  <w:divsChild>
                    <w:div w:id="727651448">
                      <w:marLeft w:val="0"/>
                      <w:marRight w:val="0"/>
                      <w:marTop w:val="0"/>
                      <w:marBottom w:val="0"/>
                      <w:divBdr>
                        <w:top w:val="none" w:sz="0" w:space="0" w:color="auto"/>
                        <w:left w:val="none" w:sz="0" w:space="0" w:color="auto"/>
                        <w:bottom w:val="none" w:sz="0" w:space="0" w:color="auto"/>
                        <w:right w:val="none" w:sz="0" w:space="0" w:color="auto"/>
                      </w:divBdr>
                    </w:div>
                  </w:divsChild>
                </w:div>
                <w:div w:id="1016031961">
                  <w:marLeft w:val="0"/>
                  <w:marRight w:val="0"/>
                  <w:marTop w:val="0"/>
                  <w:marBottom w:val="0"/>
                  <w:divBdr>
                    <w:top w:val="none" w:sz="0" w:space="0" w:color="auto"/>
                    <w:left w:val="none" w:sz="0" w:space="0" w:color="auto"/>
                    <w:bottom w:val="none" w:sz="0" w:space="0" w:color="auto"/>
                    <w:right w:val="none" w:sz="0" w:space="0" w:color="auto"/>
                  </w:divBdr>
                  <w:divsChild>
                    <w:div w:id="1497653063">
                      <w:marLeft w:val="0"/>
                      <w:marRight w:val="0"/>
                      <w:marTop w:val="0"/>
                      <w:marBottom w:val="0"/>
                      <w:divBdr>
                        <w:top w:val="none" w:sz="0" w:space="0" w:color="auto"/>
                        <w:left w:val="none" w:sz="0" w:space="0" w:color="auto"/>
                        <w:bottom w:val="none" w:sz="0" w:space="0" w:color="auto"/>
                        <w:right w:val="none" w:sz="0" w:space="0" w:color="auto"/>
                      </w:divBdr>
                    </w:div>
                  </w:divsChild>
                </w:div>
                <w:div w:id="1059868402">
                  <w:marLeft w:val="0"/>
                  <w:marRight w:val="0"/>
                  <w:marTop w:val="0"/>
                  <w:marBottom w:val="0"/>
                  <w:divBdr>
                    <w:top w:val="none" w:sz="0" w:space="0" w:color="auto"/>
                    <w:left w:val="none" w:sz="0" w:space="0" w:color="auto"/>
                    <w:bottom w:val="none" w:sz="0" w:space="0" w:color="auto"/>
                    <w:right w:val="none" w:sz="0" w:space="0" w:color="auto"/>
                  </w:divBdr>
                  <w:divsChild>
                    <w:div w:id="1884168122">
                      <w:marLeft w:val="0"/>
                      <w:marRight w:val="0"/>
                      <w:marTop w:val="0"/>
                      <w:marBottom w:val="0"/>
                      <w:divBdr>
                        <w:top w:val="none" w:sz="0" w:space="0" w:color="auto"/>
                        <w:left w:val="none" w:sz="0" w:space="0" w:color="auto"/>
                        <w:bottom w:val="none" w:sz="0" w:space="0" w:color="auto"/>
                        <w:right w:val="none" w:sz="0" w:space="0" w:color="auto"/>
                      </w:divBdr>
                    </w:div>
                  </w:divsChild>
                </w:div>
                <w:div w:id="1178232158">
                  <w:marLeft w:val="0"/>
                  <w:marRight w:val="0"/>
                  <w:marTop w:val="0"/>
                  <w:marBottom w:val="0"/>
                  <w:divBdr>
                    <w:top w:val="none" w:sz="0" w:space="0" w:color="auto"/>
                    <w:left w:val="none" w:sz="0" w:space="0" w:color="auto"/>
                    <w:bottom w:val="none" w:sz="0" w:space="0" w:color="auto"/>
                    <w:right w:val="none" w:sz="0" w:space="0" w:color="auto"/>
                  </w:divBdr>
                  <w:divsChild>
                    <w:div w:id="234826073">
                      <w:marLeft w:val="0"/>
                      <w:marRight w:val="0"/>
                      <w:marTop w:val="0"/>
                      <w:marBottom w:val="0"/>
                      <w:divBdr>
                        <w:top w:val="none" w:sz="0" w:space="0" w:color="auto"/>
                        <w:left w:val="none" w:sz="0" w:space="0" w:color="auto"/>
                        <w:bottom w:val="none" w:sz="0" w:space="0" w:color="auto"/>
                        <w:right w:val="none" w:sz="0" w:space="0" w:color="auto"/>
                      </w:divBdr>
                    </w:div>
                  </w:divsChild>
                </w:div>
                <w:div w:id="1222865508">
                  <w:marLeft w:val="0"/>
                  <w:marRight w:val="0"/>
                  <w:marTop w:val="0"/>
                  <w:marBottom w:val="0"/>
                  <w:divBdr>
                    <w:top w:val="none" w:sz="0" w:space="0" w:color="auto"/>
                    <w:left w:val="none" w:sz="0" w:space="0" w:color="auto"/>
                    <w:bottom w:val="none" w:sz="0" w:space="0" w:color="auto"/>
                    <w:right w:val="none" w:sz="0" w:space="0" w:color="auto"/>
                  </w:divBdr>
                  <w:divsChild>
                    <w:div w:id="1497258609">
                      <w:marLeft w:val="0"/>
                      <w:marRight w:val="0"/>
                      <w:marTop w:val="0"/>
                      <w:marBottom w:val="0"/>
                      <w:divBdr>
                        <w:top w:val="none" w:sz="0" w:space="0" w:color="auto"/>
                        <w:left w:val="none" w:sz="0" w:space="0" w:color="auto"/>
                        <w:bottom w:val="none" w:sz="0" w:space="0" w:color="auto"/>
                        <w:right w:val="none" w:sz="0" w:space="0" w:color="auto"/>
                      </w:divBdr>
                    </w:div>
                  </w:divsChild>
                </w:div>
                <w:div w:id="1351180737">
                  <w:marLeft w:val="0"/>
                  <w:marRight w:val="0"/>
                  <w:marTop w:val="0"/>
                  <w:marBottom w:val="0"/>
                  <w:divBdr>
                    <w:top w:val="none" w:sz="0" w:space="0" w:color="auto"/>
                    <w:left w:val="none" w:sz="0" w:space="0" w:color="auto"/>
                    <w:bottom w:val="none" w:sz="0" w:space="0" w:color="auto"/>
                    <w:right w:val="none" w:sz="0" w:space="0" w:color="auto"/>
                  </w:divBdr>
                  <w:divsChild>
                    <w:div w:id="1408844880">
                      <w:marLeft w:val="0"/>
                      <w:marRight w:val="0"/>
                      <w:marTop w:val="0"/>
                      <w:marBottom w:val="0"/>
                      <w:divBdr>
                        <w:top w:val="none" w:sz="0" w:space="0" w:color="auto"/>
                        <w:left w:val="none" w:sz="0" w:space="0" w:color="auto"/>
                        <w:bottom w:val="none" w:sz="0" w:space="0" w:color="auto"/>
                        <w:right w:val="none" w:sz="0" w:space="0" w:color="auto"/>
                      </w:divBdr>
                    </w:div>
                  </w:divsChild>
                </w:div>
                <w:div w:id="1385057256">
                  <w:marLeft w:val="0"/>
                  <w:marRight w:val="0"/>
                  <w:marTop w:val="0"/>
                  <w:marBottom w:val="0"/>
                  <w:divBdr>
                    <w:top w:val="none" w:sz="0" w:space="0" w:color="auto"/>
                    <w:left w:val="none" w:sz="0" w:space="0" w:color="auto"/>
                    <w:bottom w:val="none" w:sz="0" w:space="0" w:color="auto"/>
                    <w:right w:val="none" w:sz="0" w:space="0" w:color="auto"/>
                  </w:divBdr>
                  <w:divsChild>
                    <w:div w:id="177745331">
                      <w:marLeft w:val="0"/>
                      <w:marRight w:val="0"/>
                      <w:marTop w:val="0"/>
                      <w:marBottom w:val="0"/>
                      <w:divBdr>
                        <w:top w:val="none" w:sz="0" w:space="0" w:color="auto"/>
                        <w:left w:val="none" w:sz="0" w:space="0" w:color="auto"/>
                        <w:bottom w:val="none" w:sz="0" w:space="0" w:color="auto"/>
                        <w:right w:val="none" w:sz="0" w:space="0" w:color="auto"/>
                      </w:divBdr>
                    </w:div>
                  </w:divsChild>
                </w:div>
                <w:div w:id="1398820107">
                  <w:marLeft w:val="0"/>
                  <w:marRight w:val="0"/>
                  <w:marTop w:val="0"/>
                  <w:marBottom w:val="0"/>
                  <w:divBdr>
                    <w:top w:val="none" w:sz="0" w:space="0" w:color="auto"/>
                    <w:left w:val="none" w:sz="0" w:space="0" w:color="auto"/>
                    <w:bottom w:val="none" w:sz="0" w:space="0" w:color="auto"/>
                    <w:right w:val="none" w:sz="0" w:space="0" w:color="auto"/>
                  </w:divBdr>
                  <w:divsChild>
                    <w:div w:id="368073256">
                      <w:marLeft w:val="0"/>
                      <w:marRight w:val="0"/>
                      <w:marTop w:val="0"/>
                      <w:marBottom w:val="0"/>
                      <w:divBdr>
                        <w:top w:val="none" w:sz="0" w:space="0" w:color="auto"/>
                        <w:left w:val="none" w:sz="0" w:space="0" w:color="auto"/>
                        <w:bottom w:val="none" w:sz="0" w:space="0" w:color="auto"/>
                        <w:right w:val="none" w:sz="0" w:space="0" w:color="auto"/>
                      </w:divBdr>
                    </w:div>
                  </w:divsChild>
                </w:div>
                <w:div w:id="1412318019">
                  <w:marLeft w:val="0"/>
                  <w:marRight w:val="0"/>
                  <w:marTop w:val="0"/>
                  <w:marBottom w:val="0"/>
                  <w:divBdr>
                    <w:top w:val="none" w:sz="0" w:space="0" w:color="auto"/>
                    <w:left w:val="none" w:sz="0" w:space="0" w:color="auto"/>
                    <w:bottom w:val="none" w:sz="0" w:space="0" w:color="auto"/>
                    <w:right w:val="none" w:sz="0" w:space="0" w:color="auto"/>
                  </w:divBdr>
                  <w:divsChild>
                    <w:div w:id="51659035">
                      <w:marLeft w:val="0"/>
                      <w:marRight w:val="0"/>
                      <w:marTop w:val="0"/>
                      <w:marBottom w:val="0"/>
                      <w:divBdr>
                        <w:top w:val="none" w:sz="0" w:space="0" w:color="auto"/>
                        <w:left w:val="none" w:sz="0" w:space="0" w:color="auto"/>
                        <w:bottom w:val="none" w:sz="0" w:space="0" w:color="auto"/>
                        <w:right w:val="none" w:sz="0" w:space="0" w:color="auto"/>
                      </w:divBdr>
                    </w:div>
                    <w:div w:id="497187654">
                      <w:marLeft w:val="0"/>
                      <w:marRight w:val="0"/>
                      <w:marTop w:val="0"/>
                      <w:marBottom w:val="0"/>
                      <w:divBdr>
                        <w:top w:val="none" w:sz="0" w:space="0" w:color="auto"/>
                        <w:left w:val="none" w:sz="0" w:space="0" w:color="auto"/>
                        <w:bottom w:val="none" w:sz="0" w:space="0" w:color="auto"/>
                        <w:right w:val="none" w:sz="0" w:space="0" w:color="auto"/>
                      </w:divBdr>
                    </w:div>
                    <w:div w:id="533692377">
                      <w:marLeft w:val="0"/>
                      <w:marRight w:val="0"/>
                      <w:marTop w:val="0"/>
                      <w:marBottom w:val="0"/>
                      <w:divBdr>
                        <w:top w:val="none" w:sz="0" w:space="0" w:color="auto"/>
                        <w:left w:val="none" w:sz="0" w:space="0" w:color="auto"/>
                        <w:bottom w:val="none" w:sz="0" w:space="0" w:color="auto"/>
                        <w:right w:val="none" w:sz="0" w:space="0" w:color="auto"/>
                      </w:divBdr>
                    </w:div>
                    <w:div w:id="677806040">
                      <w:marLeft w:val="0"/>
                      <w:marRight w:val="0"/>
                      <w:marTop w:val="0"/>
                      <w:marBottom w:val="0"/>
                      <w:divBdr>
                        <w:top w:val="none" w:sz="0" w:space="0" w:color="auto"/>
                        <w:left w:val="none" w:sz="0" w:space="0" w:color="auto"/>
                        <w:bottom w:val="none" w:sz="0" w:space="0" w:color="auto"/>
                        <w:right w:val="none" w:sz="0" w:space="0" w:color="auto"/>
                      </w:divBdr>
                    </w:div>
                    <w:div w:id="907033597">
                      <w:marLeft w:val="0"/>
                      <w:marRight w:val="0"/>
                      <w:marTop w:val="0"/>
                      <w:marBottom w:val="0"/>
                      <w:divBdr>
                        <w:top w:val="none" w:sz="0" w:space="0" w:color="auto"/>
                        <w:left w:val="none" w:sz="0" w:space="0" w:color="auto"/>
                        <w:bottom w:val="none" w:sz="0" w:space="0" w:color="auto"/>
                        <w:right w:val="none" w:sz="0" w:space="0" w:color="auto"/>
                      </w:divBdr>
                    </w:div>
                    <w:div w:id="1411199490">
                      <w:marLeft w:val="0"/>
                      <w:marRight w:val="0"/>
                      <w:marTop w:val="0"/>
                      <w:marBottom w:val="0"/>
                      <w:divBdr>
                        <w:top w:val="none" w:sz="0" w:space="0" w:color="auto"/>
                        <w:left w:val="none" w:sz="0" w:space="0" w:color="auto"/>
                        <w:bottom w:val="none" w:sz="0" w:space="0" w:color="auto"/>
                        <w:right w:val="none" w:sz="0" w:space="0" w:color="auto"/>
                      </w:divBdr>
                    </w:div>
                    <w:div w:id="1717971909">
                      <w:marLeft w:val="0"/>
                      <w:marRight w:val="0"/>
                      <w:marTop w:val="0"/>
                      <w:marBottom w:val="0"/>
                      <w:divBdr>
                        <w:top w:val="none" w:sz="0" w:space="0" w:color="auto"/>
                        <w:left w:val="none" w:sz="0" w:space="0" w:color="auto"/>
                        <w:bottom w:val="none" w:sz="0" w:space="0" w:color="auto"/>
                        <w:right w:val="none" w:sz="0" w:space="0" w:color="auto"/>
                      </w:divBdr>
                    </w:div>
                  </w:divsChild>
                </w:div>
                <w:div w:id="1488284442">
                  <w:marLeft w:val="0"/>
                  <w:marRight w:val="0"/>
                  <w:marTop w:val="0"/>
                  <w:marBottom w:val="0"/>
                  <w:divBdr>
                    <w:top w:val="none" w:sz="0" w:space="0" w:color="auto"/>
                    <w:left w:val="none" w:sz="0" w:space="0" w:color="auto"/>
                    <w:bottom w:val="none" w:sz="0" w:space="0" w:color="auto"/>
                    <w:right w:val="none" w:sz="0" w:space="0" w:color="auto"/>
                  </w:divBdr>
                  <w:divsChild>
                    <w:div w:id="2020503135">
                      <w:marLeft w:val="0"/>
                      <w:marRight w:val="0"/>
                      <w:marTop w:val="0"/>
                      <w:marBottom w:val="0"/>
                      <w:divBdr>
                        <w:top w:val="none" w:sz="0" w:space="0" w:color="auto"/>
                        <w:left w:val="none" w:sz="0" w:space="0" w:color="auto"/>
                        <w:bottom w:val="none" w:sz="0" w:space="0" w:color="auto"/>
                        <w:right w:val="none" w:sz="0" w:space="0" w:color="auto"/>
                      </w:divBdr>
                    </w:div>
                  </w:divsChild>
                </w:div>
                <w:div w:id="1569530676">
                  <w:marLeft w:val="0"/>
                  <w:marRight w:val="0"/>
                  <w:marTop w:val="0"/>
                  <w:marBottom w:val="0"/>
                  <w:divBdr>
                    <w:top w:val="none" w:sz="0" w:space="0" w:color="auto"/>
                    <w:left w:val="none" w:sz="0" w:space="0" w:color="auto"/>
                    <w:bottom w:val="none" w:sz="0" w:space="0" w:color="auto"/>
                    <w:right w:val="none" w:sz="0" w:space="0" w:color="auto"/>
                  </w:divBdr>
                  <w:divsChild>
                    <w:div w:id="689988928">
                      <w:marLeft w:val="0"/>
                      <w:marRight w:val="0"/>
                      <w:marTop w:val="0"/>
                      <w:marBottom w:val="0"/>
                      <w:divBdr>
                        <w:top w:val="none" w:sz="0" w:space="0" w:color="auto"/>
                        <w:left w:val="none" w:sz="0" w:space="0" w:color="auto"/>
                        <w:bottom w:val="none" w:sz="0" w:space="0" w:color="auto"/>
                        <w:right w:val="none" w:sz="0" w:space="0" w:color="auto"/>
                      </w:divBdr>
                    </w:div>
                  </w:divsChild>
                </w:div>
                <w:div w:id="1597245837">
                  <w:marLeft w:val="0"/>
                  <w:marRight w:val="0"/>
                  <w:marTop w:val="0"/>
                  <w:marBottom w:val="0"/>
                  <w:divBdr>
                    <w:top w:val="none" w:sz="0" w:space="0" w:color="auto"/>
                    <w:left w:val="none" w:sz="0" w:space="0" w:color="auto"/>
                    <w:bottom w:val="none" w:sz="0" w:space="0" w:color="auto"/>
                    <w:right w:val="none" w:sz="0" w:space="0" w:color="auto"/>
                  </w:divBdr>
                  <w:divsChild>
                    <w:div w:id="907304252">
                      <w:marLeft w:val="0"/>
                      <w:marRight w:val="0"/>
                      <w:marTop w:val="0"/>
                      <w:marBottom w:val="0"/>
                      <w:divBdr>
                        <w:top w:val="none" w:sz="0" w:space="0" w:color="auto"/>
                        <w:left w:val="none" w:sz="0" w:space="0" w:color="auto"/>
                        <w:bottom w:val="none" w:sz="0" w:space="0" w:color="auto"/>
                        <w:right w:val="none" w:sz="0" w:space="0" w:color="auto"/>
                      </w:divBdr>
                    </w:div>
                  </w:divsChild>
                </w:div>
                <w:div w:id="1624533530">
                  <w:marLeft w:val="0"/>
                  <w:marRight w:val="0"/>
                  <w:marTop w:val="0"/>
                  <w:marBottom w:val="0"/>
                  <w:divBdr>
                    <w:top w:val="none" w:sz="0" w:space="0" w:color="auto"/>
                    <w:left w:val="none" w:sz="0" w:space="0" w:color="auto"/>
                    <w:bottom w:val="none" w:sz="0" w:space="0" w:color="auto"/>
                    <w:right w:val="none" w:sz="0" w:space="0" w:color="auto"/>
                  </w:divBdr>
                  <w:divsChild>
                    <w:div w:id="780682674">
                      <w:marLeft w:val="0"/>
                      <w:marRight w:val="0"/>
                      <w:marTop w:val="0"/>
                      <w:marBottom w:val="0"/>
                      <w:divBdr>
                        <w:top w:val="none" w:sz="0" w:space="0" w:color="auto"/>
                        <w:left w:val="none" w:sz="0" w:space="0" w:color="auto"/>
                        <w:bottom w:val="none" w:sz="0" w:space="0" w:color="auto"/>
                        <w:right w:val="none" w:sz="0" w:space="0" w:color="auto"/>
                      </w:divBdr>
                    </w:div>
                  </w:divsChild>
                </w:div>
                <w:div w:id="1630819347">
                  <w:marLeft w:val="0"/>
                  <w:marRight w:val="0"/>
                  <w:marTop w:val="0"/>
                  <w:marBottom w:val="0"/>
                  <w:divBdr>
                    <w:top w:val="none" w:sz="0" w:space="0" w:color="auto"/>
                    <w:left w:val="none" w:sz="0" w:space="0" w:color="auto"/>
                    <w:bottom w:val="none" w:sz="0" w:space="0" w:color="auto"/>
                    <w:right w:val="none" w:sz="0" w:space="0" w:color="auto"/>
                  </w:divBdr>
                  <w:divsChild>
                    <w:div w:id="1889032694">
                      <w:marLeft w:val="0"/>
                      <w:marRight w:val="0"/>
                      <w:marTop w:val="0"/>
                      <w:marBottom w:val="0"/>
                      <w:divBdr>
                        <w:top w:val="none" w:sz="0" w:space="0" w:color="auto"/>
                        <w:left w:val="none" w:sz="0" w:space="0" w:color="auto"/>
                        <w:bottom w:val="none" w:sz="0" w:space="0" w:color="auto"/>
                        <w:right w:val="none" w:sz="0" w:space="0" w:color="auto"/>
                      </w:divBdr>
                    </w:div>
                  </w:divsChild>
                </w:div>
                <w:div w:id="1657953784">
                  <w:marLeft w:val="0"/>
                  <w:marRight w:val="0"/>
                  <w:marTop w:val="0"/>
                  <w:marBottom w:val="0"/>
                  <w:divBdr>
                    <w:top w:val="none" w:sz="0" w:space="0" w:color="auto"/>
                    <w:left w:val="none" w:sz="0" w:space="0" w:color="auto"/>
                    <w:bottom w:val="none" w:sz="0" w:space="0" w:color="auto"/>
                    <w:right w:val="none" w:sz="0" w:space="0" w:color="auto"/>
                  </w:divBdr>
                  <w:divsChild>
                    <w:div w:id="1276330742">
                      <w:marLeft w:val="0"/>
                      <w:marRight w:val="0"/>
                      <w:marTop w:val="0"/>
                      <w:marBottom w:val="0"/>
                      <w:divBdr>
                        <w:top w:val="none" w:sz="0" w:space="0" w:color="auto"/>
                        <w:left w:val="none" w:sz="0" w:space="0" w:color="auto"/>
                        <w:bottom w:val="none" w:sz="0" w:space="0" w:color="auto"/>
                        <w:right w:val="none" w:sz="0" w:space="0" w:color="auto"/>
                      </w:divBdr>
                    </w:div>
                  </w:divsChild>
                </w:div>
                <w:div w:id="1668946113">
                  <w:marLeft w:val="0"/>
                  <w:marRight w:val="0"/>
                  <w:marTop w:val="0"/>
                  <w:marBottom w:val="0"/>
                  <w:divBdr>
                    <w:top w:val="none" w:sz="0" w:space="0" w:color="auto"/>
                    <w:left w:val="none" w:sz="0" w:space="0" w:color="auto"/>
                    <w:bottom w:val="none" w:sz="0" w:space="0" w:color="auto"/>
                    <w:right w:val="none" w:sz="0" w:space="0" w:color="auto"/>
                  </w:divBdr>
                  <w:divsChild>
                    <w:div w:id="524026479">
                      <w:marLeft w:val="0"/>
                      <w:marRight w:val="0"/>
                      <w:marTop w:val="0"/>
                      <w:marBottom w:val="0"/>
                      <w:divBdr>
                        <w:top w:val="none" w:sz="0" w:space="0" w:color="auto"/>
                        <w:left w:val="none" w:sz="0" w:space="0" w:color="auto"/>
                        <w:bottom w:val="none" w:sz="0" w:space="0" w:color="auto"/>
                        <w:right w:val="none" w:sz="0" w:space="0" w:color="auto"/>
                      </w:divBdr>
                    </w:div>
                  </w:divsChild>
                </w:div>
                <w:div w:id="1692413538">
                  <w:marLeft w:val="0"/>
                  <w:marRight w:val="0"/>
                  <w:marTop w:val="0"/>
                  <w:marBottom w:val="0"/>
                  <w:divBdr>
                    <w:top w:val="none" w:sz="0" w:space="0" w:color="auto"/>
                    <w:left w:val="none" w:sz="0" w:space="0" w:color="auto"/>
                    <w:bottom w:val="none" w:sz="0" w:space="0" w:color="auto"/>
                    <w:right w:val="none" w:sz="0" w:space="0" w:color="auto"/>
                  </w:divBdr>
                  <w:divsChild>
                    <w:div w:id="659235968">
                      <w:marLeft w:val="0"/>
                      <w:marRight w:val="0"/>
                      <w:marTop w:val="0"/>
                      <w:marBottom w:val="0"/>
                      <w:divBdr>
                        <w:top w:val="none" w:sz="0" w:space="0" w:color="auto"/>
                        <w:left w:val="none" w:sz="0" w:space="0" w:color="auto"/>
                        <w:bottom w:val="none" w:sz="0" w:space="0" w:color="auto"/>
                        <w:right w:val="none" w:sz="0" w:space="0" w:color="auto"/>
                      </w:divBdr>
                    </w:div>
                  </w:divsChild>
                </w:div>
                <w:div w:id="1692610439">
                  <w:marLeft w:val="0"/>
                  <w:marRight w:val="0"/>
                  <w:marTop w:val="0"/>
                  <w:marBottom w:val="0"/>
                  <w:divBdr>
                    <w:top w:val="none" w:sz="0" w:space="0" w:color="auto"/>
                    <w:left w:val="none" w:sz="0" w:space="0" w:color="auto"/>
                    <w:bottom w:val="none" w:sz="0" w:space="0" w:color="auto"/>
                    <w:right w:val="none" w:sz="0" w:space="0" w:color="auto"/>
                  </w:divBdr>
                  <w:divsChild>
                    <w:div w:id="1261647845">
                      <w:marLeft w:val="0"/>
                      <w:marRight w:val="0"/>
                      <w:marTop w:val="0"/>
                      <w:marBottom w:val="0"/>
                      <w:divBdr>
                        <w:top w:val="none" w:sz="0" w:space="0" w:color="auto"/>
                        <w:left w:val="none" w:sz="0" w:space="0" w:color="auto"/>
                        <w:bottom w:val="none" w:sz="0" w:space="0" w:color="auto"/>
                        <w:right w:val="none" w:sz="0" w:space="0" w:color="auto"/>
                      </w:divBdr>
                    </w:div>
                  </w:divsChild>
                </w:div>
                <w:div w:id="1723400983">
                  <w:marLeft w:val="0"/>
                  <w:marRight w:val="0"/>
                  <w:marTop w:val="0"/>
                  <w:marBottom w:val="0"/>
                  <w:divBdr>
                    <w:top w:val="none" w:sz="0" w:space="0" w:color="auto"/>
                    <w:left w:val="none" w:sz="0" w:space="0" w:color="auto"/>
                    <w:bottom w:val="none" w:sz="0" w:space="0" w:color="auto"/>
                    <w:right w:val="none" w:sz="0" w:space="0" w:color="auto"/>
                  </w:divBdr>
                  <w:divsChild>
                    <w:div w:id="206570145">
                      <w:marLeft w:val="0"/>
                      <w:marRight w:val="0"/>
                      <w:marTop w:val="0"/>
                      <w:marBottom w:val="0"/>
                      <w:divBdr>
                        <w:top w:val="none" w:sz="0" w:space="0" w:color="auto"/>
                        <w:left w:val="none" w:sz="0" w:space="0" w:color="auto"/>
                        <w:bottom w:val="none" w:sz="0" w:space="0" w:color="auto"/>
                        <w:right w:val="none" w:sz="0" w:space="0" w:color="auto"/>
                      </w:divBdr>
                    </w:div>
                  </w:divsChild>
                </w:div>
                <w:div w:id="1788233143">
                  <w:marLeft w:val="0"/>
                  <w:marRight w:val="0"/>
                  <w:marTop w:val="0"/>
                  <w:marBottom w:val="0"/>
                  <w:divBdr>
                    <w:top w:val="none" w:sz="0" w:space="0" w:color="auto"/>
                    <w:left w:val="none" w:sz="0" w:space="0" w:color="auto"/>
                    <w:bottom w:val="none" w:sz="0" w:space="0" w:color="auto"/>
                    <w:right w:val="none" w:sz="0" w:space="0" w:color="auto"/>
                  </w:divBdr>
                  <w:divsChild>
                    <w:div w:id="233586665">
                      <w:marLeft w:val="0"/>
                      <w:marRight w:val="0"/>
                      <w:marTop w:val="0"/>
                      <w:marBottom w:val="0"/>
                      <w:divBdr>
                        <w:top w:val="none" w:sz="0" w:space="0" w:color="auto"/>
                        <w:left w:val="none" w:sz="0" w:space="0" w:color="auto"/>
                        <w:bottom w:val="none" w:sz="0" w:space="0" w:color="auto"/>
                        <w:right w:val="none" w:sz="0" w:space="0" w:color="auto"/>
                      </w:divBdr>
                    </w:div>
                  </w:divsChild>
                </w:div>
                <w:div w:id="1794984125">
                  <w:marLeft w:val="0"/>
                  <w:marRight w:val="0"/>
                  <w:marTop w:val="0"/>
                  <w:marBottom w:val="0"/>
                  <w:divBdr>
                    <w:top w:val="none" w:sz="0" w:space="0" w:color="auto"/>
                    <w:left w:val="none" w:sz="0" w:space="0" w:color="auto"/>
                    <w:bottom w:val="none" w:sz="0" w:space="0" w:color="auto"/>
                    <w:right w:val="none" w:sz="0" w:space="0" w:color="auto"/>
                  </w:divBdr>
                  <w:divsChild>
                    <w:div w:id="894387681">
                      <w:marLeft w:val="0"/>
                      <w:marRight w:val="0"/>
                      <w:marTop w:val="0"/>
                      <w:marBottom w:val="0"/>
                      <w:divBdr>
                        <w:top w:val="none" w:sz="0" w:space="0" w:color="auto"/>
                        <w:left w:val="none" w:sz="0" w:space="0" w:color="auto"/>
                        <w:bottom w:val="none" w:sz="0" w:space="0" w:color="auto"/>
                        <w:right w:val="none" w:sz="0" w:space="0" w:color="auto"/>
                      </w:divBdr>
                    </w:div>
                  </w:divsChild>
                </w:div>
                <w:div w:id="1853376866">
                  <w:marLeft w:val="0"/>
                  <w:marRight w:val="0"/>
                  <w:marTop w:val="0"/>
                  <w:marBottom w:val="0"/>
                  <w:divBdr>
                    <w:top w:val="none" w:sz="0" w:space="0" w:color="auto"/>
                    <w:left w:val="none" w:sz="0" w:space="0" w:color="auto"/>
                    <w:bottom w:val="none" w:sz="0" w:space="0" w:color="auto"/>
                    <w:right w:val="none" w:sz="0" w:space="0" w:color="auto"/>
                  </w:divBdr>
                  <w:divsChild>
                    <w:div w:id="204681239">
                      <w:marLeft w:val="0"/>
                      <w:marRight w:val="0"/>
                      <w:marTop w:val="0"/>
                      <w:marBottom w:val="0"/>
                      <w:divBdr>
                        <w:top w:val="none" w:sz="0" w:space="0" w:color="auto"/>
                        <w:left w:val="none" w:sz="0" w:space="0" w:color="auto"/>
                        <w:bottom w:val="none" w:sz="0" w:space="0" w:color="auto"/>
                        <w:right w:val="none" w:sz="0" w:space="0" w:color="auto"/>
                      </w:divBdr>
                    </w:div>
                  </w:divsChild>
                </w:div>
                <w:div w:id="1895310406">
                  <w:marLeft w:val="0"/>
                  <w:marRight w:val="0"/>
                  <w:marTop w:val="0"/>
                  <w:marBottom w:val="0"/>
                  <w:divBdr>
                    <w:top w:val="none" w:sz="0" w:space="0" w:color="auto"/>
                    <w:left w:val="none" w:sz="0" w:space="0" w:color="auto"/>
                    <w:bottom w:val="none" w:sz="0" w:space="0" w:color="auto"/>
                    <w:right w:val="none" w:sz="0" w:space="0" w:color="auto"/>
                  </w:divBdr>
                  <w:divsChild>
                    <w:div w:id="200094550">
                      <w:marLeft w:val="0"/>
                      <w:marRight w:val="0"/>
                      <w:marTop w:val="0"/>
                      <w:marBottom w:val="0"/>
                      <w:divBdr>
                        <w:top w:val="none" w:sz="0" w:space="0" w:color="auto"/>
                        <w:left w:val="none" w:sz="0" w:space="0" w:color="auto"/>
                        <w:bottom w:val="none" w:sz="0" w:space="0" w:color="auto"/>
                        <w:right w:val="none" w:sz="0" w:space="0" w:color="auto"/>
                      </w:divBdr>
                    </w:div>
                  </w:divsChild>
                </w:div>
                <w:div w:id="2001227115">
                  <w:marLeft w:val="0"/>
                  <w:marRight w:val="0"/>
                  <w:marTop w:val="0"/>
                  <w:marBottom w:val="0"/>
                  <w:divBdr>
                    <w:top w:val="none" w:sz="0" w:space="0" w:color="auto"/>
                    <w:left w:val="none" w:sz="0" w:space="0" w:color="auto"/>
                    <w:bottom w:val="none" w:sz="0" w:space="0" w:color="auto"/>
                    <w:right w:val="none" w:sz="0" w:space="0" w:color="auto"/>
                  </w:divBdr>
                  <w:divsChild>
                    <w:div w:id="617840262">
                      <w:marLeft w:val="0"/>
                      <w:marRight w:val="0"/>
                      <w:marTop w:val="0"/>
                      <w:marBottom w:val="0"/>
                      <w:divBdr>
                        <w:top w:val="none" w:sz="0" w:space="0" w:color="auto"/>
                        <w:left w:val="none" w:sz="0" w:space="0" w:color="auto"/>
                        <w:bottom w:val="none" w:sz="0" w:space="0" w:color="auto"/>
                        <w:right w:val="none" w:sz="0" w:space="0" w:color="auto"/>
                      </w:divBdr>
                    </w:div>
                  </w:divsChild>
                </w:div>
                <w:div w:id="2051881456">
                  <w:marLeft w:val="0"/>
                  <w:marRight w:val="0"/>
                  <w:marTop w:val="0"/>
                  <w:marBottom w:val="0"/>
                  <w:divBdr>
                    <w:top w:val="none" w:sz="0" w:space="0" w:color="auto"/>
                    <w:left w:val="none" w:sz="0" w:space="0" w:color="auto"/>
                    <w:bottom w:val="none" w:sz="0" w:space="0" w:color="auto"/>
                    <w:right w:val="none" w:sz="0" w:space="0" w:color="auto"/>
                  </w:divBdr>
                  <w:divsChild>
                    <w:div w:id="1335305362">
                      <w:marLeft w:val="0"/>
                      <w:marRight w:val="0"/>
                      <w:marTop w:val="0"/>
                      <w:marBottom w:val="0"/>
                      <w:divBdr>
                        <w:top w:val="none" w:sz="0" w:space="0" w:color="auto"/>
                        <w:left w:val="none" w:sz="0" w:space="0" w:color="auto"/>
                        <w:bottom w:val="none" w:sz="0" w:space="0" w:color="auto"/>
                        <w:right w:val="none" w:sz="0" w:space="0" w:color="auto"/>
                      </w:divBdr>
                    </w:div>
                  </w:divsChild>
                </w:div>
                <w:div w:id="2094429373">
                  <w:marLeft w:val="0"/>
                  <w:marRight w:val="0"/>
                  <w:marTop w:val="0"/>
                  <w:marBottom w:val="0"/>
                  <w:divBdr>
                    <w:top w:val="none" w:sz="0" w:space="0" w:color="auto"/>
                    <w:left w:val="none" w:sz="0" w:space="0" w:color="auto"/>
                    <w:bottom w:val="none" w:sz="0" w:space="0" w:color="auto"/>
                    <w:right w:val="none" w:sz="0" w:space="0" w:color="auto"/>
                  </w:divBdr>
                  <w:divsChild>
                    <w:div w:id="2055277262">
                      <w:marLeft w:val="0"/>
                      <w:marRight w:val="0"/>
                      <w:marTop w:val="0"/>
                      <w:marBottom w:val="0"/>
                      <w:divBdr>
                        <w:top w:val="none" w:sz="0" w:space="0" w:color="auto"/>
                        <w:left w:val="none" w:sz="0" w:space="0" w:color="auto"/>
                        <w:bottom w:val="none" w:sz="0" w:space="0" w:color="auto"/>
                        <w:right w:val="none" w:sz="0" w:space="0" w:color="auto"/>
                      </w:divBdr>
                    </w:div>
                  </w:divsChild>
                </w:div>
                <w:div w:id="2111850822">
                  <w:marLeft w:val="0"/>
                  <w:marRight w:val="0"/>
                  <w:marTop w:val="0"/>
                  <w:marBottom w:val="0"/>
                  <w:divBdr>
                    <w:top w:val="none" w:sz="0" w:space="0" w:color="auto"/>
                    <w:left w:val="none" w:sz="0" w:space="0" w:color="auto"/>
                    <w:bottom w:val="none" w:sz="0" w:space="0" w:color="auto"/>
                    <w:right w:val="none" w:sz="0" w:space="0" w:color="auto"/>
                  </w:divBdr>
                  <w:divsChild>
                    <w:div w:id="1805268292">
                      <w:marLeft w:val="0"/>
                      <w:marRight w:val="0"/>
                      <w:marTop w:val="0"/>
                      <w:marBottom w:val="0"/>
                      <w:divBdr>
                        <w:top w:val="none" w:sz="0" w:space="0" w:color="auto"/>
                        <w:left w:val="none" w:sz="0" w:space="0" w:color="auto"/>
                        <w:bottom w:val="none" w:sz="0" w:space="0" w:color="auto"/>
                        <w:right w:val="none" w:sz="0" w:space="0" w:color="auto"/>
                      </w:divBdr>
                    </w:div>
                  </w:divsChild>
                </w:div>
                <w:div w:id="2138376724">
                  <w:marLeft w:val="0"/>
                  <w:marRight w:val="0"/>
                  <w:marTop w:val="0"/>
                  <w:marBottom w:val="0"/>
                  <w:divBdr>
                    <w:top w:val="none" w:sz="0" w:space="0" w:color="auto"/>
                    <w:left w:val="none" w:sz="0" w:space="0" w:color="auto"/>
                    <w:bottom w:val="none" w:sz="0" w:space="0" w:color="auto"/>
                    <w:right w:val="none" w:sz="0" w:space="0" w:color="auto"/>
                  </w:divBdr>
                  <w:divsChild>
                    <w:div w:id="21590018">
                      <w:marLeft w:val="0"/>
                      <w:marRight w:val="0"/>
                      <w:marTop w:val="0"/>
                      <w:marBottom w:val="0"/>
                      <w:divBdr>
                        <w:top w:val="none" w:sz="0" w:space="0" w:color="auto"/>
                        <w:left w:val="none" w:sz="0" w:space="0" w:color="auto"/>
                        <w:bottom w:val="none" w:sz="0" w:space="0" w:color="auto"/>
                        <w:right w:val="none" w:sz="0" w:space="0" w:color="auto"/>
                      </w:divBdr>
                    </w:div>
                    <w:div w:id="269166351">
                      <w:marLeft w:val="0"/>
                      <w:marRight w:val="0"/>
                      <w:marTop w:val="0"/>
                      <w:marBottom w:val="0"/>
                      <w:divBdr>
                        <w:top w:val="none" w:sz="0" w:space="0" w:color="auto"/>
                        <w:left w:val="none" w:sz="0" w:space="0" w:color="auto"/>
                        <w:bottom w:val="none" w:sz="0" w:space="0" w:color="auto"/>
                        <w:right w:val="none" w:sz="0" w:space="0" w:color="auto"/>
                      </w:divBdr>
                    </w:div>
                    <w:div w:id="480738469">
                      <w:marLeft w:val="0"/>
                      <w:marRight w:val="0"/>
                      <w:marTop w:val="0"/>
                      <w:marBottom w:val="0"/>
                      <w:divBdr>
                        <w:top w:val="none" w:sz="0" w:space="0" w:color="auto"/>
                        <w:left w:val="none" w:sz="0" w:space="0" w:color="auto"/>
                        <w:bottom w:val="none" w:sz="0" w:space="0" w:color="auto"/>
                        <w:right w:val="none" w:sz="0" w:space="0" w:color="auto"/>
                      </w:divBdr>
                    </w:div>
                    <w:div w:id="211296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54853">
      <w:bodyDiv w:val="1"/>
      <w:marLeft w:val="0"/>
      <w:marRight w:val="0"/>
      <w:marTop w:val="0"/>
      <w:marBottom w:val="0"/>
      <w:divBdr>
        <w:top w:val="none" w:sz="0" w:space="0" w:color="auto"/>
        <w:left w:val="none" w:sz="0" w:space="0" w:color="auto"/>
        <w:bottom w:val="none" w:sz="0" w:space="0" w:color="auto"/>
        <w:right w:val="none" w:sz="0" w:space="0" w:color="auto"/>
      </w:divBdr>
      <w:divsChild>
        <w:div w:id="162402243">
          <w:marLeft w:val="0"/>
          <w:marRight w:val="0"/>
          <w:marTop w:val="0"/>
          <w:marBottom w:val="0"/>
          <w:divBdr>
            <w:top w:val="none" w:sz="0" w:space="0" w:color="auto"/>
            <w:left w:val="none" w:sz="0" w:space="0" w:color="auto"/>
            <w:bottom w:val="none" w:sz="0" w:space="0" w:color="auto"/>
            <w:right w:val="none" w:sz="0" w:space="0" w:color="auto"/>
          </w:divBdr>
        </w:div>
        <w:div w:id="1587959794">
          <w:marLeft w:val="0"/>
          <w:marRight w:val="0"/>
          <w:marTop w:val="0"/>
          <w:marBottom w:val="0"/>
          <w:divBdr>
            <w:top w:val="none" w:sz="0" w:space="0" w:color="auto"/>
            <w:left w:val="none" w:sz="0" w:space="0" w:color="auto"/>
            <w:bottom w:val="none" w:sz="0" w:space="0" w:color="auto"/>
            <w:right w:val="none" w:sz="0" w:space="0" w:color="auto"/>
          </w:divBdr>
          <w:divsChild>
            <w:div w:id="1102991848">
              <w:marLeft w:val="-75"/>
              <w:marRight w:val="0"/>
              <w:marTop w:val="30"/>
              <w:marBottom w:val="30"/>
              <w:divBdr>
                <w:top w:val="none" w:sz="0" w:space="0" w:color="auto"/>
                <w:left w:val="none" w:sz="0" w:space="0" w:color="auto"/>
                <w:bottom w:val="none" w:sz="0" w:space="0" w:color="auto"/>
                <w:right w:val="none" w:sz="0" w:space="0" w:color="auto"/>
              </w:divBdr>
              <w:divsChild>
                <w:div w:id="11079277">
                  <w:marLeft w:val="0"/>
                  <w:marRight w:val="0"/>
                  <w:marTop w:val="0"/>
                  <w:marBottom w:val="0"/>
                  <w:divBdr>
                    <w:top w:val="none" w:sz="0" w:space="0" w:color="auto"/>
                    <w:left w:val="none" w:sz="0" w:space="0" w:color="auto"/>
                    <w:bottom w:val="none" w:sz="0" w:space="0" w:color="auto"/>
                    <w:right w:val="none" w:sz="0" w:space="0" w:color="auto"/>
                  </w:divBdr>
                  <w:divsChild>
                    <w:div w:id="1088425765">
                      <w:marLeft w:val="0"/>
                      <w:marRight w:val="0"/>
                      <w:marTop w:val="0"/>
                      <w:marBottom w:val="0"/>
                      <w:divBdr>
                        <w:top w:val="none" w:sz="0" w:space="0" w:color="auto"/>
                        <w:left w:val="none" w:sz="0" w:space="0" w:color="auto"/>
                        <w:bottom w:val="none" w:sz="0" w:space="0" w:color="auto"/>
                        <w:right w:val="none" w:sz="0" w:space="0" w:color="auto"/>
                      </w:divBdr>
                    </w:div>
                  </w:divsChild>
                </w:div>
                <w:div w:id="28459289">
                  <w:marLeft w:val="0"/>
                  <w:marRight w:val="0"/>
                  <w:marTop w:val="0"/>
                  <w:marBottom w:val="0"/>
                  <w:divBdr>
                    <w:top w:val="none" w:sz="0" w:space="0" w:color="auto"/>
                    <w:left w:val="none" w:sz="0" w:space="0" w:color="auto"/>
                    <w:bottom w:val="none" w:sz="0" w:space="0" w:color="auto"/>
                    <w:right w:val="none" w:sz="0" w:space="0" w:color="auto"/>
                  </w:divBdr>
                  <w:divsChild>
                    <w:div w:id="302543053">
                      <w:marLeft w:val="0"/>
                      <w:marRight w:val="0"/>
                      <w:marTop w:val="0"/>
                      <w:marBottom w:val="0"/>
                      <w:divBdr>
                        <w:top w:val="none" w:sz="0" w:space="0" w:color="auto"/>
                        <w:left w:val="none" w:sz="0" w:space="0" w:color="auto"/>
                        <w:bottom w:val="none" w:sz="0" w:space="0" w:color="auto"/>
                        <w:right w:val="none" w:sz="0" w:space="0" w:color="auto"/>
                      </w:divBdr>
                    </w:div>
                  </w:divsChild>
                </w:div>
                <w:div w:id="87241148">
                  <w:marLeft w:val="0"/>
                  <w:marRight w:val="0"/>
                  <w:marTop w:val="0"/>
                  <w:marBottom w:val="0"/>
                  <w:divBdr>
                    <w:top w:val="none" w:sz="0" w:space="0" w:color="auto"/>
                    <w:left w:val="none" w:sz="0" w:space="0" w:color="auto"/>
                    <w:bottom w:val="none" w:sz="0" w:space="0" w:color="auto"/>
                    <w:right w:val="none" w:sz="0" w:space="0" w:color="auto"/>
                  </w:divBdr>
                  <w:divsChild>
                    <w:div w:id="1587301108">
                      <w:marLeft w:val="0"/>
                      <w:marRight w:val="0"/>
                      <w:marTop w:val="0"/>
                      <w:marBottom w:val="0"/>
                      <w:divBdr>
                        <w:top w:val="none" w:sz="0" w:space="0" w:color="auto"/>
                        <w:left w:val="none" w:sz="0" w:space="0" w:color="auto"/>
                        <w:bottom w:val="none" w:sz="0" w:space="0" w:color="auto"/>
                        <w:right w:val="none" w:sz="0" w:space="0" w:color="auto"/>
                      </w:divBdr>
                    </w:div>
                  </w:divsChild>
                </w:div>
                <w:div w:id="174460401">
                  <w:marLeft w:val="0"/>
                  <w:marRight w:val="0"/>
                  <w:marTop w:val="0"/>
                  <w:marBottom w:val="0"/>
                  <w:divBdr>
                    <w:top w:val="none" w:sz="0" w:space="0" w:color="auto"/>
                    <w:left w:val="none" w:sz="0" w:space="0" w:color="auto"/>
                    <w:bottom w:val="none" w:sz="0" w:space="0" w:color="auto"/>
                    <w:right w:val="none" w:sz="0" w:space="0" w:color="auto"/>
                  </w:divBdr>
                  <w:divsChild>
                    <w:div w:id="2066685491">
                      <w:marLeft w:val="0"/>
                      <w:marRight w:val="0"/>
                      <w:marTop w:val="0"/>
                      <w:marBottom w:val="0"/>
                      <w:divBdr>
                        <w:top w:val="none" w:sz="0" w:space="0" w:color="auto"/>
                        <w:left w:val="none" w:sz="0" w:space="0" w:color="auto"/>
                        <w:bottom w:val="none" w:sz="0" w:space="0" w:color="auto"/>
                        <w:right w:val="none" w:sz="0" w:space="0" w:color="auto"/>
                      </w:divBdr>
                    </w:div>
                  </w:divsChild>
                </w:div>
                <w:div w:id="184098373">
                  <w:marLeft w:val="0"/>
                  <w:marRight w:val="0"/>
                  <w:marTop w:val="0"/>
                  <w:marBottom w:val="0"/>
                  <w:divBdr>
                    <w:top w:val="none" w:sz="0" w:space="0" w:color="auto"/>
                    <w:left w:val="none" w:sz="0" w:space="0" w:color="auto"/>
                    <w:bottom w:val="none" w:sz="0" w:space="0" w:color="auto"/>
                    <w:right w:val="none" w:sz="0" w:space="0" w:color="auto"/>
                  </w:divBdr>
                  <w:divsChild>
                    <w:div w:id="935748505">
                      <w:marLeft w:val="0"/>
                      <w:marRight w:val="0"/>
                      <w:marTop w:val="0"/>
                      <w:marBottom w:val="0"/>
                      <w:divBdr>
                        <w:top w:val="none" w:sz="0" w:space="0" w:color="auto"/>
                        <w:left w:val="none" w:sz="0" w:space="0" w:color="auto"/>
                        <w:bottom w:val="none" w:sz="0" w:space="0" w:color="auto"/>
                        <w:right w:val="none" w:sz="0" w:space="0" w:color="auto"/>
                      </w:divBdr>
                    </w:div>
                  </w:divsChild>
                </w:div>
                <w:div w:id="215970257">
                  <w:marLeft w:val="0"/>
                  <w:marRight w:val="0"/>
                  <w:marTop w:val="0"/>
                  <w:marBottom w:val="0"/>
                  <w:divBdr>
                    <w:top w:val="none" w:sz="0" w:space="0" w:color="auto"/>
                    <w:left w:val="none" w:sz="0" w:space="0" w:color="auto"/>
                    <w:bottom w:val="none" w:sz="0" w:space="0" w:color="auto"/>
                    <w:right w:val="none" w:sz="0" w:space="0" w:color="auto"/>
                  </w:divBdr>
                  <w:divsChild>
                    <w:div w:id="2021614559">
                      <w:marLeft w:val="0"/>
                      <w:marRight w:val="0"/>
                      <w:marTop w:val="0"/>
                      <w:marBottom w:val="0"/>
                      <w:divBdr>
                        <w:top w:val="none" w:sz="0" w:space="0" w:color="auto"/>
                        <w:left w:val="none" w:sz="0" w:space="0" w:color="auto"/>
                        <w:bottom w:val="none" w:sz="0" w:space="0" w:color="auto"/>
                        <w:right w:val="none" w:sz="0" w:space="0" w:color="auto"/>
                      </w:divBdr>
                    </w:div>
                  </w:divsChild>
                </w:div>
                <w:div w:id="322856331">
                  <w:marLeft w:val="0"/>
                  <w:marRight w:val="0"/>
                  <w:marTop w:val="0"/>
                  <w:marBottom w:val="0"/>
                  <w:divBdr>
                    <w:top w:val="none" w:sz="0" w:space="0" w:color="auto"/>
                    <w:left w:val="none" w:sz="0" w:space="0" w:color="auto"/>
                    <w:bottom w:val="none" w:sz="0" w:space="0" w:color="auto"/>
                    <w:right w:val="none" w:sz="0" w:space="0" w:color="auto"/>
                  </w:divBdr>
                  <w:divsChild>
                    <w:div w:id="1896695680">
                      <w:marLeft w:val="0"/>
                      <w:marRight w:val="0"/>
                      <w:marTop w:val="0"/>
                      <w:marBottom w:val="0"/>
                      <w:divBdr>
                        <w:top w:val="none" w:sz="0" w:space="0" w:color="auto"/>
                        <w:left w:val="none" w:sz="0" w:space="0" w:color="auto"/>
                        <w:bottom w:val="none" w:sz="0" w:space="0" w:color="auto"/>
                        <w:right w:val="none" w:sz="0" w:space="0" w:color="auto"/>
                      </w:divBdr>
                    </w:div>
                  </w:divsChild>
                </w:div>
                <w:div w:id="361247349">
                  <w:marLeft w:val="0"/>
                  <w:marRight w:val="0"/>
                  <w:marTop w:val="0"/>
                  <w:marBottom w:val="0"/>
                  <w:divBdr>
                    <w:top w:val="none" w:sz="0" w:space="0" w:color="auto"/>
                    <w:left w:val="none" w:sz="0" w:space="0" w:color="auto"/>
                    <w:bottom w:val="none" w:sz="0" w:space="0" w:color="auto"/>
                    <w:right w:val="none" w:sz="0" w:space="0" w:color="auto"/>
                  </w:divBdr>
                  <w:divsChild>
                    <w:div w:id="2079206540">
                      <w:marLeft w:val="0"/>
                      <w:marRight w:val="0"/>
                      <w:marTop w:val="0"/>
                      <w:marBottom w:val="0"/>
                      <w:divBdr>
                        <w:top w:val="none" w:sz="0" w:space="0" w:color="auto"/>
                        <w:left w:val="none" w:sz="0" w:space="0" w:color="auto"/>
                        <w:bottom w:val="none" w:sz="0" w:space="0" w:color="auto"/>
                        <w:right w:val="none" w:sz="0" w:space="0" w:color="auto"/>
                      </w:divBdr>
                    </w:div>
                  </w:divsChild>
                </w:div>
                <w:div w:id="366416710">
                  <w:marLeft w:val="0"/>
                  <w:marRight w:val="0"/>
                  <w:marTop w:val="0"/>
                  <w:marBottom w:val="0"/>
                  <w:divBdr>
                    <w:top w:val="none" w:sz="0" w:space="0" w:color="auto"/>
                    <w:left w:val="none" w:sz="0" w:space="0" w:color="auto"/>
                    <w:bottom w:val="none" w:sz="0" w:space="0" w:color="auto"/>
                    <w:right w:val="none" w:sz="0" w:space="0" w:color="auto"/>
                  </w:divBdr>
                  <w:divsChild>
                    <w:div w:id="219093731">
                      <w:marLeft w:val="0"/>
                      <w:marRight w:val="0"/>
                      <w:marTop w:val="0"/>
                      <w:marBottom w:val="0"/>
                      <w:divBdr>
                        <w:top w:val="none" w:sz="0" w:space="0" w:color="auto"/>
                        <w:left w:val="none" w:sz="0" w:space="0" w:color="auto"/>
                        <w:bottom w:val="none" w:sz="0" w:space="0" w:color="auto"/>
                        <w:right w:val="none" w:sz="0" w:space="0" w:color="auto"/>
                      </w:divBdr>
                    </w:div>
                  </w:divsChild>
                </w:div>
                <w:div w:id="381443043">
                  <w:marLeft w:val="0"/>
                  <w:marRight w:val="0"/>
                  <w:marTop w:val="0"/>
                  <w:marBottom w:val="0"/>
                  <w:divBdr>
                    <w:top w:val="none" w:sz="0" w:space="0" w:color="auto"/>
                    <w:left w:val="none" w:sz="0" w:space="0" w:color="auto"/>
                    <w:bottom w:val="none" w:sz="0" w:space="0" w:color="auto"/>
                    <w:right w:val="none" w:sz="0" w:space="0" w:color="auto"/>
                  </w:divBdr>
                  <w:divsChild>
                    <w:div w:id="1058435687">
                      <w:marLeft w:val="0"/>
                      <w:marRight w:val="0"/>
                      <w:marTop w:val="0"/>
                      <w:marBottom w:val="0"/>
                      <w:divBdr>
                        <w:top w:val="none" w:sz="0" w:space="0" w:color="auto"/>
                        <w:left w:val="none" w:sz="0" w:space="0" w:color="auto"/>
                        <w:bottom w:val="none" w:sz="0" w:space="0" w:color="auto"/>
                        <w:right w:val="none" w:sz="0" w:space="0" w:color="auto"/>
                      </w:divBdr>
                    </w:div>
                  </w:divsChild>
                </w:div>
                <w:div w:id="408355329">
                  <w:marLeft w:val="0"/>
                  <w:marRight w:val="0"/>
                  <w:marTop w:val="0"/>
                  <w:marBottom w:val="0"/>
                  <w:divBdr>
                    <w:top w:val="none" w:sz="0" w:space="0" w:color="auto"/>
                    <w:left w:val="none" w:sz="0" w:space="0" w:color="auto"/>
                    <w:bottom w:val="none" w:sz="0" w:space="0" w:color="auto"/>
                    <w:right w:val="none" w:sz="0" w:space="0" w:color="auto"/>
                  </w:divBdr>
                  <w:divsChild>
                    <w:div w:id="158078251">
                      <w:marLeft w:val="0"/>
                      <w:marRight w:val="0"/>
                      <w:marTop w:val="0"/>
                      <w:marBottom w:val="0"/>
                      <w:divBdr>
                        <w:top w:val="none" w:sz="0" w:space="0" w:color="auto"/>
                        <w:left w:val="none" w:sz="0" w:space="0" w:color="auto"/>
                        <w:bottom w:val="none" w:sz="0" w:space="0" w:color="auto"/>
                        <w:right w:val="none" w:sz="0" w:space="0" w:color="auto"/>
                      </w:divBdr>
                    </w:div>
                  </w:divsChild>
                </w:div>
                <w:div w:id="425611575">
                  <w:marLeft w:val="0"/>
                  <w:marRight w:val="0"/>
                  <w:marTop w:val="0"/>
                  <w:marBottom w:val="0"/>
                  <w:divBdr>
                    <w:top w:val="none" w:sz="0" w:space="0" w:color="auto"/>
                    <w:left w:val="none" w:sz="0" w:space="0" w:color="auto"/>
                    <w:bottom w:val="none" w:sz="0" w:space="0" w:color="auto"/>
                    <w:right w:val="none" w:sz="0" w:space="0" w:color="auto"/>
                  </w:divBdr>
                  <w:divsChild>
                    <w:div w:id="1022970866">
                      <w:marLeft w:val="0"/>
                      <w:marRight w:val="0"/>
                      <w:marTop w:val="0"/>
                      <w:marBottom w:val="0"/>
                      <w:divBdr>
                        <w:top w:val="none" w:sz="0" w:space="0" w:color="auto"/>
                        <w:left w:val="none" w:sz="0" w:space="0" w:color="auto"/>
                        <w:bottom w:val="none" w:sz="0" w:space="0" w:color="auto"/>
                        <w:right w:val="none" w:sz="0" w:space="0" w:color="auto"/>
                      </w:divBdr>
                    </w:div>
                  </w:divsChild>
                </w:div>
                <w:div w:id="427118443">
                  <w:marLeft w:val="0"/>
                  <w:marRight w:val="0"/>
                  <w:marTop w:val="0"/>
                  <w:marBottom w:val="0"/>
                  <w:divBdr>
                    <w:top w:val="none" w:sz="0" w:space="0" w:color="auto"/>
                    <w:left w:val="none" w:sz="0" w:space="0" w:color="auto"/>
                    <w:bottom w:val="none" w:sz="0" w:space="0" w:color="auto"/>
                    <w:right w:val="none" w:sz="0" w:space="0" w:color="auto"/>
                  </w:divBdr>
                  <w:divsChild>
                    <w:div w:id="523632907">
                      <w:marLeft w:val="0"/>
                      <w:marRight w:val="0"/>
                      <w:marTop w:val="0"/>
                      <w:marBottom w:val="0"/>
                      <w:divBdr>
                        <w:top w:val="none" w:sz="0" w:space="0" w:color="auto"/>
                        <w:left w:val="none" w:sz="0" w:space="0" w:color="auto"/>
                        <w:bottom w:val="none" w:sz="0" w:space="0" w:color="auto"/>
                        <w:right w:val="none" w:sz="0" w:space="0" w:color="auto"/>
                      </w:divBdr>
                    </w:div>
                  </w:divsChild>
                </w:div>
                <w:div w:id="431170327">
                  <w:marLeft w:val="0"/>
                  <w:marRight w:val="0"/>
                  <w:marTop w:val="0"/>
                  <w:marBottom w:val="0"/>
                  <w:divBdr>
                    <w:top w:val="none" w:sz="0" w:space="0" w:color="auto"/>
                    <w:left w:val="none" w:sz="0" w:space="0" w:color="auto"/>
                    <w:bottom w:val="none" w:sz="0" w:space="0" w:color="auto"/>
                    <w:right w:val="none" w:sz="0" w:space="0" w:color="auto"/>
                  </w:divBdr>
                  <w:divsChild>
                    <w:div w:id="1558396499">
                      <w:marLeft w:val="0"/>
                      <w:marRight w:val="0"/>
                      <w:marTop w:val="0"/>
                      <w:marBottom w:val="0"/>
                      <w:divBdr>
                        <w:top w:val="none" w:sz="0" w:space="0" w:color="auto"/>
                        <w:left w:val="none" w:sz="0" w:space="0" w:color="auto"/>
                        <w:bottom w:val="none" w:sz="0" w:space="0" w:color="auto"/>
                        <w:right w:val="none" w:sz="0" w:space="0" w:color="auto"/>
                      </w:divBdr>
                    </w:div>
                  </w:divsChild>
                </w:div>
                <w:div w:id="479155270">
                  <w:marLeft w:val="0"/>
                  <w:marRight w:val="0"/>
                  <w:marTop w:val="0"/>
                  <w:marBottom w:val="0"/>
                  <w:divBdr>
                    <w:top w:val="none" w:sz="0" w:space="0" w:color="auto"/>
                    <w:left w:val="none" w:sz="0" w:space="0" w:color="auto"/>
                    <w:bottom w:val="none" w:sz="0" w:space="0" w:color="auto"/>
                    <w:right w:val="none" w:sz="0" w:space="0" w:color="auto"/>
                  </w:divBdr>
                  <w:divsChild>
                    <w:div w:id="142089586">
                      <w:marLeft w:val="0"/>
                      <w:marRight w:val="0"/>
                      <w:marTop w:val="0"/>
                      <w:marBottom w:val="0"/>
                      <w:divBdr>
                        <w:top w:val="none" w:sz="0" w:space="0" w:color="auto"/>
                        <w:left w:val="none" w:sz="0" w:space="0" w:color="auto"/>
                        <w:bottom w:val="none" w:sz="0" w:space="0" w:color="auto"/>
                        <w:right w:val="none" w:sz="0" w:space="0" w:color="auto"/>
                      </w:divBdr>
                    </w:div>
                  </w:divsChild>
                </w:div>
                <w:div w:id="486091604">
                  <w:marLeft w:val="0"/>
                  <w:marRight w:val="0"/>
                  <w:marTop w:val="0"/>
                  <w:marBottom w:val="0"/>
                  <w:divBdr>
                    <w:top w:val="none" w:sz="0" w:space="0" w:color="auto"/>
                    <w:left w:val="none" w:sz="0" w:space="0" w:color="auto"/>
                    <w:bottom w:val="none" w:sz="0" w:space="0" w:color="auto"/>
                    <w:right w:val="none" w:sz="0" w:space="0" w:color="auto"/>
                  </w:divBdr>
                  <w:divsChild>
                    <w:div w:id="2049842095">
                      <w:marLeft w:val="0"/>
                      <w:marRight w:val="0"/>
                      <w:marTop w:val="0"/>
                      <w:marBottom w:val="0"/>
                      <w:divBdr>
                        <w:top w:val="none" w:sz="0" w:space="0" w:color="auto"/>
                        <w:left w:val="none" w:sz="0" w:space="0" w:color="auto"/>
                        <w:bottom w:val="none" w:sz="0" w:space="0" w:color="auto"/>
                        <w:right w:val="none" w:sz="0" w:space="0" w:color="auto"/>
                      </w:divBdr>
                    </w:div>
                  </w:divsChild>
                </w:div>
                <w:div w:id="530068851">
                  <w:marLeft w:val="0"/>
                  <w:marRight w:val="0"/>
                  <w:marTop w:val="0"/>
                  <w:marBottom w:val="0"/>
                  <w:divBdr>
                    <w:top w:val="none" w:sz="0" w:space="0" w:color="auto"/>
                    <w:left w:val="none" w:sz="0" w:space="0" w:color="auto"/>
                    <w:bottom w:val="none" w:sz="0" w:space="0" w:color="auto"/>
                    <w:right w:val="none" w:sz="0" w:space="0" w:color="auto"/>
                  </w:divBdr>
                  <w:divsChild>
                    <w:div w:id="1072234997">
                      <w:marLeft w:val="0"/>
                      <w:marRight w:val="0"/>
                      <w:marTop w:val="0"/>
                      <w:marBottom w:val="0"/>
                      <w:divBdr>
                        <w:top w:val="none" w:sz="0" w:space="0" w:color="auto"/>
                        <w:left w:val="none" w:sz="0" w:space="0" w:color="auto"/>
                        <w:bottom w:val="none" w:sz="0" w:space="0" w:color="auto"/>
                        <w:right w:val="none" w:sz="0" w:space="0" w:color="auto"/>
                      </w:divBdr>
                    </w:div>
                  </w:divsChild>
                </w:div>
                <w:div w:id="728572602">
                  <w:marLeft w:val="0"/>
                  <w:marRight w:val="0"/>
                  <w:marTop w:val="0"/>
                  <w:marBottom w:val="0"/>
                  <w:divBdr>
                    <w:top w:val="none" w:sz="0" w:space="0" w:color="auto"/>
                    <w:left w:val="none" w:sz="0" w:space="0" w:color="auto"/>
                    <w:bottom w:val="none" w:sz="0" w:space="0" w:color="auto"/>
                    <w:right w:val="none" w:sz="0" w:space="0" w:color="auto"/>
                  </w:divBdr>
                  <w:divsChild>
                    <w:div w:id="1130322785">
                      <w:marLeft w:val="0"/>
                      <w:marRight w:val="0"/>
                      <w:marTop w:val="0"/>
                      <w:marBottom w:val="0"/>
                      <w:divBdr>
                        <w:top w:val="none" w:sz="0" w:space="0" w:color="auto"/>
                        <w:left w:val="none" w:sz="0" w:space="0" w:color="auto"/>
                        <w:bottom w:val="none" w:sz="0" w:space="0" w:color="auto"/>
                        <w:right w:val="none" w:sz="0" w:space="0" w:color="auto"/>
                      </w:divBdr>
                    </w:div>
                  </w:divsChild>
                </w:div>
                <w:div w:id="804082276">
                  <w:marLeft w:val="0"/>
                  <w:marRight w:val="0"/>
                  <w:marTop w:val="0"/>
                  <w:marBottom w:val="0"/>
                  <w:divBdr>
                    <w:top w:val="none" w:sz="0" w:space="0" w:color="auto"/>
                    <w:left w:val="none" w:sz="0" w:space="0" w:color="auto"/>
                    <w:bottom w:val="none" w:sz="0" w:space="0" w:color="auto"/>
                    <w:right w:val="none" w:sz="0" w:space="0" w:color="auto"/>
                  </w:divBdr>
                  <w:divsChild>
                    <w:div w:id="534197860">
                      <w:marLeft w:val="0"/>
                      <w:marRight w:val="0"/>
                      <w:marTop w:val="0"/>
                      <w:marBottom w:val="0"/>
                      <w:divBdr>
                        <w:top w:val="none" w:sz="0" w:space="0" w:color="auto"/>
                        <w:left w:val="none" w:sz="0" w:space="0" w:color="auto"/>
                        <w:bottom w:val="none" w:sz="0" w:space="0" w:color="auto"/>
                        <w:right w:val="none" w:sz="0" w:space="0" w:color="auto"/>
                      </w:divBdr>
                    </w:div>
                    <w:div w:id="741366581">
                      <w:marLeft w:val="0"/>
                      <w:marRight w:val="0"/>
                      <w:marTop w:val="0"/>
                      <w:marBottom w:val="0"/>
                      <w:divBdr>
                        <w:top w:val="none" w:sz="0" w:space="0" w:color="auto"/>
                        <w:left w:val="none" w:sz="0" w:space="0" w:color="auto"/>
                        <w:bottom w:val="none" w:sz="0" w:space="0" w:color="auto"/>
                        <w:right w:val="none" w:sz="0" w:space="0" w:color="auto"/>
                      </w:divBdr>
                    </w:div>
                    <w:div w:id="1705400330">
                      <w:marLeft w:val="0"/>
                      <w:marRight w:val="0"/>
                      <w:marTop w:val="0"/>
                      <w:marBottom w:val="0"/>
                      <w:divBdr>
                        <w:top w:val="none" w:sz="0" w:space="0" w:color="auto"/>
                        <w:left w:val="none" w:sz="0" w:space="0" w:color="auto"/>
                        <w:bottom w:val="none" w:sz="0" w:space="0" w:color="auto"/>
                        <w:right w:val="none" w:sz="0" w:space="0" w:color="auto"/>
                      </w:divBdr>
                    </w:div>
                    <w:div w:id="1833443082">
                      <w:marLeft w:val="0"/>
                      <w:marRight w:val="0"/>
                      <w:marTop w:val="0"/>
                      <w:marBottom w:val="0"/>
                      <w:divBdr>
                        <w:top w:val="none" w:sz="0" w:space="0" w:color="auto"/>
                        <w:left w:val="none" w:sz="0" w:space="0" w:color="auto"/>
                        <w:bottom w:val="none" w:sz="0" w:space="0" w:color="auto"/>
                        <w:right w:val="none" w:sz="0" w:space="0" w:color="auto"/>
                      </w:divBdr>
                    </w:div>
                  </w:divsChild>
                </w:div>
                <w:div w:id="804932192">
                  <w:marLeft w:val="0"/>
                  <w:marRight w:val="0"/>
                  <w:marTop w:val="0"/>
                  <w:marBottom w:val="0"/>
                  <w:divBdr>
                    <w:top w:val="none" w:sz="0" w:space="0" w:color="auto"/>
                    <w:left w:val="none" w:sz="0" w:space="0" w:color="auto"/>
                    <w:bottom w:val="none" w:sz="0" w:space="0" w:color="auto"/>
                    <w:right w:val="none" w:sz="0" w:space="0" w:color="auto"/>
                  </w:divBdr>
                  <w:divsChild>
                    <w:div w:id="10769135">
                      <w:marLeft w:val="0"/>
                      <w:marRight w:val="0"/>
                      <w:marTop w:val="0"/>
                      <w:marBottom w:val="0"/>
                      <w:divBdr>
                        <w:top w:val="none" w:sz="0" w:space="0" w:color="auto"/>
                        <w:left w:val="none" w:sz="0" w:space="0" w:color="auto"/>
                        <w:bottom w:val="none" w:sz="0" w:space="0" w:color="auto"/>
                        <w:right w:val="none" w:sz="0" w:space="0" w:color="auto"/>
                      </w:divBdr>
                    </w:div>
                    <w:div w:id="755244986">
                      <w:marLeft w:val="0"/>
                      <w:marRight w:val="0"/>
                      <w:marTop w:val="0"/>
                      <w:marBottom w:val="0"/>
                      <w:divBdr>
                        <w:top w:val="none" w:sz="0" w:space="0" w:color="auto"/>
                        <w:left w:val="none" w:sz="0" w:space="0" w:color="auto"/>
                        <w:bottom w:val="none" w:sz="0" w:space="0" w:color="auto"/>
                        <w:right w:val="none" w:sz="0" w:space="0" w:color="auto"/>
                      </w:divBdr>
                    </w:div>
                    <w:div w:id="901527132">
                      <w:marLeft w:val="0"/>
                      <w:marRight w:val="0"/>
                      <w:marTop w:val="0"/>
                      <w:marBottom w:val="0"/>
                      <w:divBdr>
                        <w:top w:val="none" w:sz="0" w:space="0" w:color="auto"/>
                        <w:left w:val="none" w:sz="0" w:space="0" w:color="auto"/>
                        <w:bottom w:val="none" w:sz="0" w:space="0" w:color="auto"/>
                        <w:right w:val="none" w:sz="0" w:space="0" w:color="auto"/>
                      </w:divBdr>
                    </w:div>
                    <w:div w:id="1089347672">
                      <w:marLeft w:val="0"/>
                      <w:marRight w:val="0"/>
                      <w:marTop w:val="0"/>
                      <w:marBottom w:val="0"/>
                      <w:divBdr>
                        <w:top w:val="none" w:sz="0" w:space="0" w:color="auto"/>
                        <w:left w:val="none" w:sz="0" w:space="0" w:color="auto"/>
                        <w:bottom w:val="none" w:sz="0" w:space="0" w:color="auto"/>
                        <w:right w:val="none" w:sz="0" w:space="0" w:color="auto"/>
                      </w:divBdr>
                    </w:div>
                    <w:div w:id="1538928768">
                      <w:marLeft w:val="0"/>
                      <w:marRight w:val="0"/>
                      <w:marTop w:val="0"/>
                      <w:marBottom w:val="0"/>
                      <w:divBdr>
                        <w:top w:val="none" w:sz="0" w:space="0" w:color="auto"/>
                        <w:left w:val="none" w:sz="0" w:space="0" w:color="auto"/>
                        <w:bottom w:val="none" w:sz="0" w:space="0" w:color="auto"/>
                        <w:right w:val="none" w:sz="0" w:space="0" w:color="auto"/>
                      </w:divBdr>
                    </w:div>
                    <w:div w:id="1592816052">
                      <w:marLeft w:val="0"/>
                      <w:marRight w:val="0"/>
                      <w:marTop w:val="0"/>
                      <w:marBottom w:val="0"/>
                      <w:divBdr>
                        <w:top w:val="none" w:sz="0" w:space="0" w:color="auto"/>
                        <w:left w:val="none" w:sz="0" w:space="0" w:color="auto"/>
                        <w:bottom w:val="none" w:sz="0" w:space="0" w:color="auto"/>
                        <w:right w:val="none" w:sz="0" w:space="0" w:color="auto"/>
                      </w:divBdr>
                    </w:div>
                    <w:div w:id="1715345569">
                      <w:marLeft w:val="0"/>
                      <w:marRight w:val="0"/>
                      <w:marTop w:val="0"/>
                      <w:marBottom w:val="0"/>
                      <w:divBdr>
                        <w:top w:val="none" w:sz="0" w:space="0" w:color="auto"/>
                        <w:left w:val="none" w:sz="0" w:space="0" w:color="auto"/>
                        <w:bottom w:val="none" w:sz="0" w:space="0" w:color="auto"/>
                        <w:right w:val="none" w:sz="0" w:space="0" w:color="auto"/>
                      </w:divBdr>
                    </w:div>
                  </w:divsChild>
                </w:div>
                <w:div w:id="920455083">
                  <w:marLeft w:val="0"/>
                  <w:marRight w:val="0"/>
                  <w:marTop w:val="0"/>
                  <w:marBottom w:val="0"/>
                  <w:divBdr>
                    <w:top w:val="none" w:sz="0" w:space="0" w:color="auto"/>
                    <w:left w:val="none" w:sz="0" w:space="0" w:color="auto"/>
                    <w:bottom w:val="none" w:sz="0" w:space="0" w:color="auto"/>
                    <w:right w:val="none" w:sz="0" w:space="0" w:color="auto"/>
                  </w:divBdr>
                  <w:divsChild>
                    <w:div w:id="1219391507">
                      <w:marLeft w:val="0"/>
                      <w:marRight w:val="0"/>
                      <w:marTop w:val="0"/>
                      <w:marBottom w:val="0"/>
                      <w:divBdr>
                        <w:top w:val="none" w:sz="0" w:space="0" w:color="auto"/>
                        <w:left w:val="none" w:sz="0" w:space="0" w:color="auto"/>
                        <w:bottom w:val="none" w:sz="0" w:space="0" w:color="auto"/>
                        <w:right w:val="none" w:sz="0" w:space="0" w:color="auto"/>
                      </w:divBdr>
                    </w:div>
                  </w:divsChild>
                </w:div>
                <w:div w:id="924414595">
                  <w:marLeft w:val="0"/>
                  <w:marRight w:val="0"/>
                  <w:marTop w:val="0"/>
                  <w:marBottom w:val="0"/>
                  <w:divBdr>
                    <w:top w:val="none" w:sz="0" w:space="0" w:color="auto"/>
                    <w:left w:val="none" w:sz="0" w:space="0" w:color="auto"/>
                    <w:bottom w:val="none" w:sz="0" w:space="0" w:color="auto"/>
                    <w:right w:val="none" w:sz="0" w:space="0" w:color="auto"/>
                  </w:divBdr>
                  <w:divsChild>
                    <w:div w:id="1581868130">
                      <w:marLeft w:val="0"/>
                      <w:marRight w:val="0"/>
                      <w:marTop w:val="0"/>
                      <w:marBottom w:val="0"/>
                      <w:divBdr>
                        <w:top w:val="none" w:sz="0" w:space="0" w:color="auto"/>
                        <w:left w:val="none" w:sz="0" w:space="0" w:color="auto"/>
                        <w:bottom w:val="none" w:sz="0" w:space="0" w:color="auto"/>
                        <w:right w:val="none" w:sz="0" w:space="0" w:color="auto"/>
                      </w:divBdr>
                    </w:div>
                  </w:divsChild>
                </w:div>
                <w:div w:id="934483920">
                  <w:marLeft w:val="0"/>
                  <w:marRight w:val="0"/>
                  <w:marTop w:val="0"/>
                  <w:marBottom w:val="0"/>
                  <w:divBdr>
                    <w:top w:val="none" w:sz="0" w:space="0" w:color="auto"/>
                    <w:left w:val="none" w:sz="0" w:space="0" w:color="auto"/>
                    <w:bottom w:val="none" w:sz="0" w:space="0" w:color="auto"/>
                    <w:right w:val="none" w:sz="0" w:space="0" w:color="auto"/>
                  </w:divBdr>
                  <w:divsChild>
                    <w:div w:id="1779520990">
                      <w:marLeft w:val="0"/>
                      <w:marRight w:val="0"/>
                      <w:marTop w:val="0"/>
                      <w:marBottom w:val="0"/>
                      <w:divBdr>
                        <w:top w:val="none" w:sz="0" w:space="0" w:color="auto"/>
                        <w:left w:val="none" w:sz="0" w:space="0" w:color="auto"/>
                        <w:bottom w:val="none" w:sz="0" w:space="0" w:color="auto"/>
                        <w:right w:val="none" w:sz="0" w:space="0" w:color="auto"/>
                      </w:divBdr>
                    </w:div>
                  </w:divsChild>
                </w:div>
                <w:div w:id="942765128">
                  <w:marLeft w:val="0"/>
                  <w:marRight w:val="0"/>
                  <w:marTop w:val="0"/>
                  <w:marBottom w:val="0"/>
                  <w:divBdr>
                    <w:top w:val="none" w:sz="0" w:space="0" w:color="auto"/>
                    <w:left w:val="none" w:sz="0" w:space="0" w:color="auto"/>
                    <w:bottom w:val="none" w:sz="0" w:space="0" w:color="auto"/>
                    <w:right w:val="none" w:sz="0" w:space="0" w:color="auto"/>
                  </w:divBdr>
                  <w:divsChild>
                    <w:div w:id="1537501736">
                      <w:marLeft w:val="0"/>
                      <w:marRight w:val="0"/>
                      <w:marTop w:val="0"/>
                      <w:marBottom w:val="0"/>
                      <w:divBdr>
                        <w:top w:val="none" w:sz="0" w:space="0" w:color="auto"/>
                        <w:left w:val="none" w:sz="0" w:space="0" w:color="auto"/>
                        <w:bottom w:val="none" w:sz="0" w:space="0" w:color="auto"/>
                        <w:right w:val="none" w:sz="0" w:space="0" w:color="auto"/>
                      </w:divBdr>
                    </w:div>
                  </w:divsChild>
                </w:div>
                <w:div w:id="976565246">
                  <w:marLeft w:val="0"/>
                  <w:marRight w:val="0"/>
                  <w:marTop w:val="0"/>
                  <w:marBottom w:val="0"/>
                  <w:divBdr>
                    <w:top w:val="none" w:sz="0" w:space="0" w:color="auto"/>
                    <w:left w:val="none" w:sz="0" w:space="0" w:color="auto"/>
                    <w:bottom w:val="none" w:sz="0" w:space="0" w:color="auto"/>
                    <w:right w:val="none" w:sz="0" w:space="0" w:color="auto"/>
                  </w:divBdr>
                  <w:divsChild>
                    <w:div w:id="1742557965">
                      <w:marLeft w:val="0"/>
                      <w:marRight w:val="0"/>
                      <w:marTop w:val="0"/>
                      <w:marBottom w:val="0"/>
                      <w:divBdr>
                        <w:top w:val="none" w:sz="0" w:space="0" w:color="auto"/>
                        <w:left w:val="none" w:sz="0" w:space="0" w:color="auto"/>
                        <w:bottom w:val="none" w:sz="0" w:space="0" w:color="auto"/>
                        <w:right w:val="none" w:sz="0" w:space="0" w:color="auto"/>
                      </w:divBdr>
                    </w:div>
                  </w:divsChild>
                </w:div>
                <w:div w:id="997466364">
                  <w:marLeft w:val="0"/>
                  <w:marRight w:val="0"/>
                  <w:marTop w:val="0"/>
                  <w:marBottom w:val="0"/>
                  <w:divBdr>
                    <w:top w:val="none" w:sz="0" w:space="0" w:color="auto"/>
                    <w:left w:val="none" w:sz="0" w:space="0" w:color="auto"/>
                    <w:bottom w:val="none" w:sz="0" w:space="0" w:color="auto"/>
                    <w:right w:val="none" w:sz="0" w:space="0" w:color="auto"/>
                  </w:divBdr>
                  <w:divsChild>
                    <w:div w:id="543522079">
                      <w:marLeft w:val="0"/>
                      <w:marRight w:val="0"/>
                      <w:marTop w:val="0"/>
                      <w:marBottom w:val="0"/>
                      <w:divBdr>
                        <w:top w:val="none" w:sz="0" w:space="0" w:color="auto"/>
                        <w:left w:val="none" w:sz="0" w:space="0" w:color="auto"/>
                        <w:bottom w:val="none" w:sz="0" w:space="0" w:color="auto"/>
                        <w:right w:val="none" w:sz="0" w:space="0" w:color="auto"/>
                      </w:divBdr>
                    </w:div>
                  </w:divsChild>
                </w:div>
                <w:div w:id="999187385">
                  <w:marLeft w:val="0"/>
                  <w:marRight w:val="0"/>
                  <w:marTop w:val="0"/>
                  <w:marBottom w:val="0"/>
                  <w:divBdr>
                    <w:top w:val="none" w:sz="0" w:space="0" w:color="auto"/>
                    <w:left w:val="none" w:sz="0" w:space="0" w:color="auto"/>
                    <w:bottom w:val="none" w:sz="0" w:space="0" w:color="auto"/>
                    <w:right w:val="none" w:sz="0" w:space="0" w:color="auto"/>
                  </w:divBdr>
                  <w:divsChild>
                    <w:div w:id="994995676">
                      <w:marLeft w:val="0"/>
                      <w:marRight w:val="0"/>
                      <w:marTop w:val="0"/>
                      <w:marBottom w:val="0"/>
                      <w:divBdr>
                        <w:top w:val="none" w:sz="0" w:space="0" w:color="auto"/>
                        <w:left w:val="none" w:sz="0" w:space="0" w:color="auto"/>
                        <w:bottom w:val="none" w:sz="0" w:space="0" w:color="auto"/>
                        <w:right w:val="none" w:sz="0" w:space="0" w:color="auto"/>
                      </w:divBdr>
                    </w:div>
                  </w:divsChild>
                </w:div>
                <w:div w:id="1033268076">
                  <w:marLeft w:val="0"/>
                  <w:marRight w:val="0"/>
                  <w:marTop w:val="0"/>
                  <w:marBottom w:val="0"/>
                  <w:divBdr>
                    <w:top w:val="none" w:sz="0" w:space="0" w:color="auto"/>
                    <w:left w:val="none" w:sz="0" w:space="0" w:color="auto"/>
                    <w:bottom w:val="none" w:sz="0" w:space="0" w:color="auto"/>
                    <w:right w:val="none" w:sz="0" w:space="0" w:color="auto"/>
                  </w:divBdr>
                  <w:divsChild>
                    <w:div w:id="817919756">
                      <w:marLeft w:val="0"/>
                      <w:marRight w:val="0"/>
                      <w:marTop w:val="0"/>
                      <w:marBottom w:val="0"/>
                      <w:divBdr>
                        <w:top w:val="none" w:sz="0" w:space="0" w:color="auto"/>
                        <w:left w:val="none" w:sz="0" w:space="0" w:color="auto"/>
                        <w:bottom w:val="none" w:sz="0" w:space="0" w:color="auto"/>
                        <w:right w:val="none" w:sz="0" w:space="0" w:color="auto"/>
                      </w:divBdr>
                    </w:div>
                  </w:divsChild>
                </w:div>
                <w:div w:id="1060445901">
                  <w:marLeft w:val="0"/>
                  <w:marRight w:val="0"/>
                  <w:marTop w:val="0"/>
                  <w:marBottom w:val="0"/>
                  <w:divBdr>
                    <w:top w:val="none" w:sz="0" w:space="0" w:color="auto"/>
                    <w:left w:val="none" w:sz="0" w:space="0" w:color="auto"/>
                    <w:bottom w:val="none" w:sz="0" w:space="0" w:color="auto"/>
                    <w:right w:val="none" w:sz="0" w:space="0" w:color="auto"/>
                  </w:divBdr>
                  <w:divsChild>
                    <w:div w:id="869101240">
                      <w:marLeft w:val="0"/>
                      <w:marRight w:val="0"/>
                      <w:marTop w:val="0"/>
                      <w:marBottom w:val="0"/>
                      <w:divBdr>
                        <w:top w:val="none" w:sz="0" w:space="0" w:color="auto"/>
                        <w:left w:val="none" w:sz="0" w:space="0" w:color="auto"/>
                        <w:bottom w:val="none" w:sz="0" w:space="0" w:color="auto"/>
                        <w:right w:val="none" w:sz="0" w:space="0" w:color="auto"/>
                      </w:divBdr>
                    </w:div>
                  </w:divsChild>
                </w:div>
                <w:div w:id="1297296813">
                  <w:marLeft w:val="0"/>
                  <w:marRight w:val="0"/>
                  <w:marTop w:val="0"/>
                  <w:marBottom w:val="0"/>
                  <w:divBdr>
                    <w:top w:val="none" w:sz="0" w:space="0" w:color="auto"/>
                    <w:left w:val="none" w:sz="0" w:space="0" w:color="auto"/>
                    <w:bottom w:val="none" w:sz="0" w:space="0" w:color="auto"/>
                    <w:right w:val="none" w:sz="0" w:space="0" w:color="auto"/>
                  </w:divBdr>
                  <w:divsChild>
                    <w:div w:id="969211989">
                      <w:marLeft w:val="0"/>
                      <w:marRight w:val="0"/>
                      <w:marTop w:val="0"/>
                      <w:marBottom w:val="0"/>
                      <w:divBdr>
                        <w:top w:val="none" w:sz="0" w:space="0" w:color="auto"/>
                        <w:left w:val="none" w:sz="0" w:space="0" w:color="auto"/>
                        <w:bottom w:val="none" w:sz="0" w:space="0" w:color="auto"/>
                        <w:right w:val="none" w:sz="0" w:space="0" w:color="auto"/>
                      </w:divBdr>
                    </w:div>
                  </w:divsChild>
                </w:div>
                <w:div w:id="1332442681">
                  <w:marLeft w:val="0"/>
                  <w:marRight w:val="0"/>
                  <w:marTop w:val="0"/>
                  <w:marBottom w:val="0"/>
                  <w:divBdr>
                    <w:top w:val="none" w:sz="0" w:space="0" w:color="auto"/>
                    <w:left w:val="none" w:sz="0" w:space="0" w:color="auto"/>
                    <w:bottom w:val="none" w:sz="0" w:space="0" w:color="auto"/>
                    <w:right w:val="none" w:sz="0" w:space="0" w:color="auto"/>
                  </w:divBdr>
                  <w:divsChild>
                    <w:div w:id="286394330">
                      <w:marLeft w:val="0"/>
                      <w:marRight w:val="0"/>
                      <w:marTop w:val="0"/>
                      <w:marBottom w:val="0"/>
                      <w:divBdr>
                        <w:top w:val="none" w:sz="0" w:space="0" w:color="auto"/>
                        <w:left w:val="none" w:sz="0" w:space="0" w:color="auto"/>
                        <w:bottom w:val="none" w:sz="0" w:space="0" w:color="auto"/>
                        <w:right w:val="none" w:sz="0" w:space="0" w:color="auto"/>
                      </w:divBdr>
                    </w:div>
                  </w:divsChild>
                </w:div>
                <w:div w:id="1337077867">
                  <w:marLeft w:val="0"/>
                  <w:marRight w:val="0"/>
                  <w:marTop w:val="0"/>
                  <w:marBottom w:val="0"/>
                  <w:divBdr>
                    <w:top w:val="none" w:sz="0" w:space="0" w:color="auto"/>
                    <w:left w:val="none" w:sz="0" w:space="0" w:color="auto"/>
                    <w:bottom w:val="none" w:sz="0" w:space="0" w:color="auto"/>
                    <w:right w:val="none" w:sz="0" w:space="0" w:color="auto"/>
                  </w:divBdr>
                  <w:divsChild>
                    <w:div w:id="51318877">
                      <w:marLeft w:val="0"/>
                      <w:marRight w:val="0"/>
                      <w:marTop w:val="0"/>
                      <w:marBottom w:val="0"/>
                      <w:divBdr>
                        <w:top w:val="none" w:sz="0" w:space="0" w:color="auto"/>
                        <w:left w:val="none" w:sz="0" w:space="0" w:color="auto"/>
                        <w:bottom w:val="none" w:sz="0" w:space="0" w:color="auto"/>
                        <w:right w:val="none" w:sz="0" w:space="0" w:color="auto"/>
                      </w:divBdr>
                    </w:div>
                  </w:divsChild>
                </w:div>
                <w:div w:id="1347171729">
                  <w:marLeft w:val="0"/>
                  <w:marRight w:val="0"/>
                  <w:marTop w:val="0"/>
                  <w:marBottom w:val="0"/>
                  <w:divBdr>
                    <w:top w:val="none" w:sz="0" w:space="0" w:color="auto"/>
                    <w:left w:val="none" w:sz="0" w:space="0" w:color="auto"/>
                    <w:bottom w:val="none" w:sz="0" w:space="0" w:color="auto"/>
                    <w:right w:val="none" w:sz="0" w:space="0" w:color="auto"/>
                  </w:divBdr>
                  <w:divsChild>
                    <w:div w:id="995107224">
                      <w:marLeft w:val="0"/>
                      <w:marRight w:val="0"/>
                      <w:marTop w:val="0"/>
                      <w:marBottom w:val="0"/>
                      <w:divBdr>
                        <w:top w:val="none" w:sz="0" w:space="0" w:color="auto"/>
                        <w:left w:val="none" w:sz="0" w:space="0" w:color="auto"/>
                        <w:bottom w:val="none" w:sz="0" w:space="0" w:color="auto"/>
                        <w:right w:val="none" w:sz="0" w:space="0" w:color="auto"/>
                      </w:divBdr>
                    </w:div>
                  </w:divsChild>
                </w:div>
                <w:div w:id="1373386068">
                  <w:marLeft w:val="0"/>
                  <w:marRight w:val="0"/>
                  <w:marTop w:val="0"/>
                  <w:marBottom w:val="0"/>
                  <w:divBdr>
                    <w:top w:val="none" w:sz="0" w:space="0" w:color="auto"/>
                    <w:left w:val="none" w:sz="0" w:space="0" w:color="auto"/>
                    <w:bottom w:val="none" w:sz="0" w:space="0" w:color="auto"/>
                    <w:right w:val="none" w:sz="0" w:space="0" w:color="auto"/>
                  </w:divBdr>
                  <w:divsChild>
                    <w:div w:id="43993829">
                      <w:marLeft w:val="0"/>
                      <w:marRight w:val="0"/>
                      <w:marTop w:val="0"/>
                      <w:marBottom w:val="0"/>
                      <w:divBdr>
                        <w:top w:val="none" w:sz="0" w:space="0" w:color="auto"/>
                        <w:left w:val="none" w:sz="0" w:space="0" w:color="auto"/>
                        <w:bottom w:val="none" w:sz="0" w:space="0" w:color="auto"/>
                        <w:right w:val="none" w:sz="0" w:space="0" w:color="auto"/>
                      </w:divBdr>
                    </w:div>
                  </w:divsChild>
                </w:div>
                <w:div w:id="1387023845">
                  <w:marLeft w:val="0"/>
                  <w:marRight w:val="0"/>
                  <w:marTop w:val="0"/>
                  <w:marBottom w:val="0"/>
                  <w:divBdr>
                    <w:top w:val="none" w:sz="0" w:space="0" w:color="auto"/>
                    <w:left w:val="none" w:sz="0" w:space="0" w:color="auto"/>
                    <w:bottom w:val="none" w:sz="0" w:space="0" w:color="auto"/>
                    <w:right w:val="none" w:sz="0" w:space="0" w:color="auto"/>
                  </w:divBdr>
                  <w:divsChild>
                    <w:div w:id="1109928144">
                      <w:marLeft w:val="0"/>
                      <w:marRight w:val="0"/>
                      <w:marTop w:val="0"/>
                      <w:marBottom w:val="0"/>
                      <w:divBdr>
                        <w:top w:val="none" w:sz="0" w:space="0" w:color="auto"/>
                        <w:left w:val="none" w:sz="0" w:space="0" w:color="auto"/>
                        <w:bottom w:val="none" w:sz="0" w:space="0" w:color="auto"/>
                        <w:right w:val="none" w:sz="0" w:space="0" w:color="auto"/>
                      </w:divBdr>
                    </w:div>
                  </w:divsChild>
                </w:div>
                <w:div w:id="1444692224">
                  <w:marLeft w:val="0"/>
                  <w:marRight w:val="0"/>
                  <w:marTop w:val="0"/>
                  <w:marBottom w:val="0"/>
                  <w:divBdr>
                    <w:top w:val="none" w:sz="0" w:space="0" w:color="auto"/>
                    <w:left w:val="none" w:sz="0" w:space="0" w:color="auto"/>
                    <w:bottom w:val="none" w:sz="0" w:space="0" w:color="auto"/>
                    <w:right w:val="none" w:sz="0" w:space="0" w:color="auto"/>
                  </w:divBdr>
                  <w:divsChild>
                    <w:div w:id="192577113">
                      <w:marLeft w:val="0"/>
                      <w:marRight w:val="0"/>
                      <w:marTop w:val="0"/>
                      <w:marBottom w:val="0"/>
                      <w:divBdr>
                        <w:top w:val="none" w:sz="0" w:space="0" w:color="auto"/>
                        <w:left w:val="none" w:sz="0" w:space="0" w:color="auto"/>
                        <w:bottom w:val="none" w:sz="0" w:space="0" w:color="auto"/>
                        <w:right w:val="none" w:sz="0" w:space="0" w:color="auto"/>
                      </w:divBdr>
                    </w:div>
                  </w:divsChild>
                </w:div>
                <w:div w:id="1456362760">
                  <w:marLeft w:val="0"/>
                  <w:marRight w:val="0"/>
                  <w:marTop w:val="0"/>
                  <w:marBottom w:val="0"/>
                  <w:divBdr>
                    <w:top w:val="none" w:sz="0" w:space="0" w:color="auto"/>
                    <w:left w:val="none" w:sz="0" w:space="0" w:color="auto"/>
                    <w:bottom w:val="none" w:sz="0" w:space="0" w:color="auto"/>
                    <w:right w:val="none" w:sz="0" w:space="0" w:color="auto"/>
                  </w:divBdr>
                  <w:divsChild>
                    <w:div w:id="1990013124">
                      <w:marLeft w:val="0"/>
                      <w:marRight w:val="0"/>
                      <w:marTop w:val="0"/>
                      <w:marBottom w:val="0"/>
                      <w:divBdr>
                        <w:top w:val="none" w:sz="0" w:space="0" w:color="auto"/>
                        <w:left w:val="none" w:sz="0" w:space="0" w:color="auto"/>
                        <w:bottom w:val="none" w:sz="0" w:space="0" w:color="auto"/>
                        <w:right w:val="none" w:sz="0" w:space="0" w:color="auto"/>
                      </w:divBdr>
                    </w:div>
                  </w:divsChild>
                </w:div>
                <w:div w:id="1469204455">
                  <w:marLeft w:val="0"/>
                  <w:marRight w:val="0"/>
                  <w:marTop w:val="0"/>
                  <w:marBottom w:val="0"/>
                  <w:divBdr>
                    <w:top w:val="none" w:sz="0" w:space="0" w:color="auto"/>
                    <w:left w:val="none" w:sz="0" w:space="0" w:color="auto"/>
                    <w:bottom w:val="none" w:sz="0" w:space="0" w:color="auto"/>
                    <w:right w:val="none" w:sz="0" w:space="0" w:color="auto"/>
                  </w:divBdr>
                  <w:divsChild>
                    <w:div w:id="1569875594">
                      <w:marLeft w:val="0"/>
                      <w:marRight w:val="0"/>
                      <w:marTop w:val="0"/>
                      <w:marBottom w:val="0"/>
                      <w:divBdr>
                        <w:top w:val="none" w:sz="0" w:space="0" w:color="auto"/>
                        <w:left w:val="none" w:sz="0" w:space="0" w:color="auto"/>
                        <w:bottom w:val="none" w:sz="0" w:space="0" w:color="auto"/>
                        <w:right w:val="none" w:sz="0" w:space="0" w:color="auto"/>
                      </w:divBdr>
                    </w:div>
                  </w:divsChild>
                </w:div>
                <w:div w:id="1554390060">
                  <w:marLeft w:val="0"/>
                  <w:marRight w:val="0"/>
                  <w:marTop w:val="0"/>
                  <w:marBottom w:val="0"/>
                  <w:divBdr>
                    <w:top w:val="none" w:sz="0" w:space="0" w:color="auto"/>
                    <w:left w:val="none" w:sz="0" w:space="0" w:color="auto"/>
                    <w:bottom w:val="none" w:sz="0" w:space="0" w:color="auto"/>
                    <w:right w:val="none" w:sz="0" w:space="0" w:color="auto"/>
                  </w:divBdr>
                  <w:divsChild>
                    <w:div w:id="1759714131">
                      <w:marLeft w:val="0"/>
                      <w:marRight w:val="0"/>
                      <w:marTop w:val="0"/>
                      <w:marBottom w:val="0"/>
                      <w:divBdr>
                        <w:top w:val="none" w:sz="0" w:space="0" w:color="auto"/>
                        <w:left w:val="none" w:sz="0" w:space="0" w:color="auto"/>
                        <w:bottom w:val="none" w:sz="0" w:space="0" w:color="auto"/>
                        <w:right w:val="none" w:sz="0" w:space="0" w:color="auto"/>
                      </w:divBdr>
                    </w:div>
                  </w:divsChild>
                </w:div>
                <w:div w:id="1623343883">
                  <w:marLeft w:val="0"/>
                  <w:marRight w:val="0"/>
                  <w:marTop w:val="0"/>
                  <w:marBottom w:val="0"/>
                  <w:divBdr>
                    <w:top w:val="none" w:sz="0" w:space="0" w:color="auto"/>
                    <w:left w:val="none" w:sz="0" w:space="0" w:color="auto"/>
                    <w:bottom w:val="none" w:sz="0" w:space="0" w:color="auto"/>
                    <w:right w:val="none" w:sz="0" w:space="0" w:color="auto"/>
                  </w:divBdr>
                  <w:divsChild>
                    <w:div w:id="1088574889">
                      <w:marLeft w:val="0"/>
                      <w:marRight w:val="0"/>
                      <w:marTop w:val="0"/>
                      <w:marBottom w:val="0"/>
                      <w:divBdr>
                        <w:top w:val="none" w:sz="0" w:space="0" w:color="auto"/>
                        <w:left w:val="none" w:sz="0" w:space="0" w:color="auto"/>
                        <w:bottom w:val="none" w:sz="0" w:space="0" w:color="auto"/>
                        <w:right w:val="none" w:sz="0" w:space="0" w:color="auto"/>
                      </w:divBdr>
                    </w:div>
                  </w:divsChild>
                </w:div>
                <w:div w:id="1635866530">
                  <w:marLeft w:val="0"/>
                  <w:marRight w:val="0"/>
                  <w:marTop w:val="0"/>
                  <w:marBottom w:val="0"/>
                  <w:divBdr>
                    <w:top w:val="none" w:sz="0" w:space="0" w:color="auto"/>
                    <w:left w:val="none" w:sz="0" w:space="0" w:color="auto"/>
                    <w:bottom w:val="none" w:sz="0" w:space="0" w:color="auto"/>
                    <w:right w:val="none" w:sz="0" w:space="0" w:color="auto"/>
                  </w:divBdr>
                  <w:divsChild>
                    <w:div w:id="1089037959">
                      <w:marLeft w:val="0"/>
                      <w:marRight w:val="0"/>
                      <w:marTop w:val="0"/>
                      <w:marBottom w:val="0"/>
                      <w:divBdr>
                        <w:top w:val="none" w:sz="0" w:space="0" w:color="auto"/>
                        <w:left w:val="none" w:sz="0" w:space="0" w:color="auto"/>
                        <w:bottom w:val="none" w:sz="0" w:space="0" w:color="auto"/>
                        <w:right w:val="none" w:sz="0" w:space="0" w:color="auto"/>
                      </w:divBdr>
                    </w:div>
                  </w:divsChild>
                </w:div>
                <w:div w:id="1635988989">
                  <w:marLeft w:val="0"/>
                  <w:marRight w:val="0"/>
                  <w:marTop w:val="0"/>
                  <w:marBottom w:val="0"/>
                  <w:divBdr>
                    <w:top w:val="none" w:sz="0" w:space="0" w:color="auto"/>
                    <w:left w:val="none" w:sz="0" w:space="0" w:color="auto"/>
                    <w:bottom w:val="none" w:sz="0" w:space="0" w:color="auto"/>
                    <w:right w:val="none" w:sz="0" w:space="0" w:color="auto"/>
                  </w:divBdr>
                  <w:divsChild>
                    <w:div w:id="1462266359">
                      <w:marLeft w:val="0"/>
                      <w:marRight w:val="0"/>
                      <w:marTop w:val="0"/>
                      <w:marBottom w:val="0"/>
                      <w:divBdr>
                        <w:top w:val="none" w:sz="0" w:space="0" w:color="auto"/>
                        <w:left w:val="none" w:sz="0" w:space="0" w:color="auto"/>
                        <w:bottom w:val="none" w:sz="0" w:space="0" w:color="auto"/>
                        <w:right w:val="none" w:sz="0" w:space="0" w:color="auto"/>
                      </w:divBdr>
                    </w:div>
                  </w:divsChild>
                </w:div>
                <w:div w:id="1788698886">
                  <w:marLeft w:val="0"/>
                  <w:marRight w:val="0"/>
                  <w:marTop w:val="0"/>
                  <w:marBottom w:val="0"/>
                  <w:divBdr>
                    <w:top w:val="none" w:sz="0" w:space="0" w:color="auto"/>
                    <w:left w:val="none" w:sz="0" w:space="0" w:color="auto"/>
                    <w:bottom w:val="none" w:sz="0" w:space="0" w:color="auto"/>
                    <w:right w:val="none" w:sz="0" w:space="0" w:color="auto"/>
                  </w:divBdr>
                  <w:divsChild>
                    <w:div w:id="94404142">
                      <w:marLeft w:val="0"/>
                      <w:marRight w:val="0"/>
                      <w:marTop w:val="0"/>
                      <w:marBottom w:val="0"/>
                      <w:divBdr>
                        <w:top w:val="none" w:sz="0" w:space="0" w:color="auto"/>
                        <w:left w:val="none" w:sz="0" w:space="0" w:color="auto"/>
                        <w:bottom w:val="none" w:sz="0" w:space="0" w:color="auto"/>
                        <w:right w:val="none" w:sz="0" w:space="0" w:color="auto"/>
                      </w:divBdr>
                    </w:div>
                  </w:divsChild>
                </w:div>
                <w:div w:id="1863594338">
                  <w:marLeft w:val="0"/>
                  <w:marRight w:val="0"/>
                  <w:marTop w:val="0"/>
                  <w:marBottom w:val="0"/>
                  <w:divBdr>
                    <w:top w:val="none" w:sz="0" w:space="0" w:color="auto"/>
                    <w:left w:val="none" w:sz="0" w:space="0" w:color="auto"/>
                    <w:bottom w:val="none" w:sz="0" w:space="0" w:color="auto"/>
                    <w:right w:val="none" w:sz="0" w:space="0" w:color="auto"/>
                  </w:divBdr>
                  <w:divsChild>
                    <w:div w:id="530805240">
                      <w:marLeft w:val="0"/>
                      <w:marRight w:val="0"/>
                      <w:marTop w:val="0"/>
                      <w:marBottom w:val="0"/>
                      <w:divBdr>
                        <w:top w:val="none" w:sz="0" w:space="0" w:color="auto"/>
                        <w:left w:val="none" w:sz="0" w:space="0" w:color="auto"/>
                        <w:bottom w:val="none" w:sz="0" w:space="0" w:color="auto"/>
                        <w:right w:val="none" w:sz="0" w:space="0" w:color="auto"/>
                      </w:divBdr>
                    </w:div>
                  </w:divsChild>
                </w:div>
                <w:div w:id="1883784064">
                  <w:marLeft w:val="0"/>
                  <w:marRight w:val="0"/>
                  <w:marTop w:val="0"/>
                  <w:marBottom w:val="0"/>
                  <w:divBdr>
                    <w:top w:val="none" w:sz="0" w:space="0" w:color="auto"/>
                    <w:left w:val="none" w:sz="0" w:space="0" w:color="auto"/>
                    <w:bottom w:val="none" w:sz="0" w:space="0" w:color="auto"/>
                    <w:right w:val="none" w:sz="0" w:space="0" w:color="auto"/>
                  </w:divBdr>
                  <w:divsChild>
                    <w:div w:id="1861309989">
                      <w:marLeft w:val="0"/>
                      <w:marRight w:val="0"/>
                      <w:marTop w:val="0"/>
                      <w:marBottom w:val="0"/>
                      <w:divBdr>
                        <w:top w:val="none" w:sz="0" w:space="0" w:color="auto"/>
                        <w:left w:val="none" w:sz="0" w:space="0" w:color="auto"/>
                        <w:bottom w:val="none" w:sz="0" w:space="0" w:color="auto"/>
                        <w:right w:val="none" w:sz="0" w:space="0" w:color="auto"/>
                      </w:divBdr>
                    </w:div>
                  </w:divsChild>
                </w:div>
                <w:div w:id="1987783185">
                  <w:marLeft w:val="0"/>
                  <w:marRight w:val="0"/>
                  <w:marTop w:val="0"/>
                  <w:marBottom w:val="0"/>
                  <w:divBdr>
                    <w:top w:val="none" w:sz="0" w:space="0" w:color="auto"/>
                    <w:left w:val="none" w:sz="0" w:space="0" w:color="auto"/>
                    <w:bottom w:val="none" w:sz="0" w:space="0" w:color="auto"/>
                    <w:right w:val="none" w:sz="0" w:space="0" w:color="auto"/>
                  </w:divBdr>
                  <w:divsChild>
                    <w:div w:id="673382853">
                      <w:marLeft w:val="0"/>
                      <w:marRight w:val="0"/>
                      <w:marTop w:val="0"/>
                      <w:marBottom w:val="0"/>
                      <w:divBdr>
                        <w:top w:val="none" w:sz="0" w:space="0" w:color="auto"/>
                        <w:left w:val="none" w:sz="0" w:space="0" w:color="auto"/>
                        <w:bottom w:val="none" w:sz="0" w:space="0" w:color="auto"/>
                        <w:right w:val="none" w:sz="0" w:space="0" w:color="auto"/>
                      </w:divBdr>
                    </w:div>
                  </w:divsChild>
                </w:div>
                <w:div w:id="1989507917">
                  <w:marLeft w:val="0"/>
                  <w:marRight w:val="0"/>
                  <w:marTop w:val="0"/>
                  <w:marBottom w:val="0"/>
                  <w:divBdr>
                    <w:top w:val="none" w:sz="0" w:space="0" w:color="auto"/>
                    <w:left w:val="none" w:sz="0" w:space="0" w:color="auto"/>
                    <w:bottom w:val="none" w:sz="0" w:space="0" w:color="auto"/>
                    <w:right w:val="none" w:sz="0" w:space="0" w:color="auto"/>
                  </w:divBdr>
                  <w:divsChild>
                    <w:div w:id="1683513317">
                      <w:marLeft w:val="0"/>
                      <w:marRight w:val="0"/>
                      <w:marTop w:val="0"/>
                      <w:marBottom w:val="0"/>
                      <w:divBdr>
                        <w:top w:val="none" w:sz="0" w:space="0" w:color="auto"/>
                        <w:left w:val="none" w:sz="0" w:space="0" w:color="auto"/>
                        <w:bottom w:val="none" w:sz="0" w:space="0" w:color="auto"/>
                        <w:right w:val="none" w:sz="0" w:space="0" w:color="auto"/>
                      </w:divBdr>
                    </w:div>
                  </w:divsChild>
                </w:div>
                <w:div w:id="1993292700">
                  <w:marLeft w:val="0"/>
                  <w:marRight w:val="0"/>
                  <w:marTop w:val="0"/>
                  <w:marBottom w:val="0"/>
                  <w:divBdr>
                    <w:top w:val="none" w:sz="0" w:space="0" w:color="auto"/>
                    <w:left w:val="none" w:sz="0" w:space="0" w:color="auto"/>
                    <w:bottom w:val="none" w:sz="0" w:space="0" w:color="auto"/>
                    <w:right w:val="none" w:sz="0" w:space="0" w:color="auto"/>
                  </w:divBdr>
                  <w:divsChild>
                    <w:div w:id="4503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27049">
          <w:marLeft w:val="0"/>
          <w:marRight w:val="0"/>
          <w:marTop w:val="0"/>
          <w:marBottom w:val="0"/>
          <w:divBdr>
            <w:top w:val="none" w:sz="0" w:space="0" w:color="auto"/>
            <w:left w:val="none" w:sz="0" w:space="0" w:color="auto"/>
            <w:bottom w:val="none" w:sz="0" w:space="0" w:color="auto"/>
            <w:right w:val="none" w:sz="0" w:space="0" w:color="auto"/>
          </w:divBdr>
        </w:div>
      </w:divsChild>
    </w:div>
    <w:div w:id="392509367">
      <w:bodyDiv w:val="1"/>
      <w:marLeft w:val="0"/>
      <w:marRight w:val="0"/>
      <w:marTop w:val="0"/>
      <w:marBottom w:val="0"/>
      <w:divBdr>
        <w:top w:val="none" w:sz="0" w:space="0" w:color="auto"/>
        <w:left w:val="none" w:sz="0" w:space="0" w:color="auto"/>
        <w:bottom w:val="none" w:sz="0" w:space="0" w:color="auto"/>
        <w:right w:val="none" w:sz="0" w:space="0" w:color="auto"/>
      </w:divBdr>
    </w:div>
    <w:div w:id="611010540">
      <w:bodyDiv w:val="1"/>
      <w:marLeft w:val="0"/>
      <w:marRight w:val="0"/>
      <w:marTop w:val="0"/>
      <w:marBottom w:val="0"/>
      <w:divBdr>
        <w:top w:val="none" w:sz="0" w:space="0" w:color="auto"/>
        <w:left w:val="none" w:sz="0" w:space="0" w:color="auto"/>
        <w:bottom w:val="none" w:sz="0" w:space="0" w:color="auto"/>
        <w:right w:val="none" w:sz="0" w:space="0" w:color="auto"/>
      </w:divBdr>
    </w:div>
    <w:div w:id="679044034">
      <w:bodyDiv w:val="1"/>
      <w:marLeft w:val="0"/>
      <w:marRight w:val="0"/>
      <w:marTop w:val="0"/>
      <w:marBottom w:val="0"/>
      <w:divBdr>
        <w:top w:val="none" w:sz="0" w:space="0" w:color="auto"/>
        <w:left w:val="none" w:sz="0" w:space="0" w:color="auto"/>
        <w:bottom w:val="none" w:sz="0" w:space="0" w:color="auto"/>
        <w:right w:val="none" w:sz="0" w:space="0" w:color="auto"/>
      </w:divBdr>
    </w:div>
    <w:div w:id="804084486">
      <w:bodyDiv w:val="1"/>
      <w:marLeft w:val="0"/>
      <w:marRight w:val="0"/>
      <w:marTop w:val="0"/>
      <w:marBottom w:val="0"/>
      <w:divBdr>
        <w:top w:val="none" w:sz="0" w:space="0" w:color="auto"/>
        <w:left w:val="none" w:sz="0" w:space="0" w:color="auto"/>
        <w:bottom w:val="none" w:sz="0" w:space="0" w:color="auto"/>
        <w:right w:val="none" w:sz="0" w:space="0" w:color="auto"/>
      </w:divBdr>
    </w:div>
    <w:div w:id="917907986">
      <w:bodyDiv w:val="1"/>
      <w:marLeft w:val="0"/>
      <w:marRight w:val="0"/>
      <w:marTop w:val="0"/>
      <w:marBottom w:val="0"/>
      <w:divBdr>
        <w:top w:val="none" w:sz="0" w:space="0" w:color="auto"/>
        <w:left w:val="none" w:sz="0" w:space="0" w:color="auto"/>
        <w:bottom w:val="none" w:sz="0" w:space="0" w:color="auto"/>
        <w:right w:val="none" w:sz="0" w:space="0" w:color="auto"/>
      </w:divBdr>
      <w:divsChild>
        <w:div w:id="413431334">
          <w:marLeft w:val="0"/>
          <w:marRight w:val="0"/>
          <w:marTop w:val="0"/>
          <w:marBottom w:val="0"/>
          <w:divBdr>
            <w:top w:val="none" w:sz="0" w:space="0" w:color="auto"/>
            <w:left w:val="none" w:sz="0" w:space="0" w:color="auto"/>
            <w:bottom w:val="none" w:sz="0" w:space="0" w:color="auto"/>
            <w:right w:val="none" w:sz="0" w:space="0" w:color="auto"/>
          </w:divBdr>
        </w:div>
        <w:div w:id="992684407">
          <w:marLeft w:val="0"/>
          <w:marRight w:val="0"/>
          <w:marTop w:val="0"/>
          <w:marBottom w:val="0"/>
          <w:divBdr>
            <w:top w:val="none" w:sz="0" w:space="0" w:color="auto"/>
            <w:left w:val="none" w:sz="0" w:space="0" w:color="auto"/>
            <w:bottom w:val="none" w:sz="0" w:space="0" w:color="auto"/>
            <w:right w:val="none" w:sz="0" w:space="0" w:color="auto"/>
          </w:divBdr>
          <w:divsChild>
            <w:div w:id="1406149289">
              <w:marLeft w:val="-75"/>
              <w:marRight w:val="0"/>
              <w:marTop w:val="30"/>
              <w:marBottom w:val="30"/>
              <w:divBdr>
                <w:top w:val="none" w:sz="0" w:space="0" w:color="auto"/>
                <w:left w:val="none" w:sz="0" w:space="0" w:color="auto"/>
                <w:bottom w:val="none" w:sz="0" w:space="0" w:color="auto"/>
                <w:right w:val="none" w:sz="0" w:space="0" w:color="auto"/>
              </w:divBdr>
              <w:divsChild>
                <w:div w:id="3022867">
                  <w:marLeft w:val="0"/>
                  <w:marRight w:val="0"/>
                  <w:marTop w:val="0"/>
                  <w:marBottom w:val="0"/>
                  <w:divBdr>
                    <w:top w:val="none" w:sz="0" w:space="0" w:color="auto"/>
                    <w:left w:val="none" w:sz="0" w:space="0" w:color="auto"/>
                    <w:bottom w:val="none" w:sz="0" w:space="0" w:color="auto"/>
                    <w:right w:val="none" w:sz="0" w:space="0" w:color="auto"/>
                  </w:divBdr>
                  <w:divsChild>
                    <w:div w:id="145709753">
                      <w:marLeft w:val="0"/>
                      <w:marRight w:val="0"/>
                      <w:marTop w:val="0"/>
                      <w:marBottom w:val="0"/>
                      <w:divBdr>
                        <w:top w:val="none" w:sz="0" w:space="0" w:color="auto"/>
                        <w:left w:val="none" w:sz="0" w:space="0" w:color="auto"/>
                        <w:bottom w:val="none" w:sz="0" w:space="0" w:color="auto"/>
                        <w:right w:val="none" w:sz="0" w:space="0" w:color="auto"/>
                      </w:divBdr>
                    </w:div>
                  </w:divsChild>
                </w:div>
                <w:div w:id="41757127">
                  <w:marLeft w:val="0"/>
                  <w:marRight w:val="0"/>
                  <w:marTop w:val="0"/>
                  <w:marBottom w:val="0"/>
                  <w:divBdr>
                    <w:top w:val="none" w:sz="0" w:space="0" w:color="auto"/>
                    <w:left w:val="none" w:sz="0" w:space="0" w:color="auto"/>
                    <w:bottom w:val="none" w:sz="0" w:space="0" w:color="auto"/>
                    <w:right w:val="none" w:sz="0" w:space="0" w:color="auto"/>
                  </w:divBdr>
                  <w:divsChild>
                    <w:div w:id="590511780">
                      <w:marLeft w:val="0"/>
                      <w:marRight w:val="0"/>
                      <w:marTop w:val="0"/>
                      <w:marBottom w:val="0"/>
                      <w:divBdr>
                        <w:top w:val="none" w:sz="0" w:space="0" w:color="auto"/>
                        <w:left w:val="none" w:sz="0" w:space="0" w:color="auto"/>
                        <w:bottom w:val="none" w:sz="0" w:space="0" w:color="auto"/>
                        <w:right w:val="none" w:sz="0" w:space="0" w:color="auto"/>
                      </w:divBdr>
                    </w:div>
                  </w:divsChild>
                </w:div>
                <w:div w:id="53282890">
                  <w:marLeft w:val="0"/>
                  <w:marRight w:val="0"/>
                  <w:marTop w:val="0"/>
                  <w:marBottom w:val="0"/>
                  <w:divBdr>
                    <w:top w:val="none" w:sz="0" w:space="0" w:color="auto"/>
                    <w:left w:val="none" w:sz="0" w:space="0" w:color="auto"/>
                    <w:bottom w:val="none" w:sz="0" w:space="0" w:color="auto"/>
                    <w:right w:val="none" w:sz="0" w:space="0" w:color="auto"/>
                  </w:divBdr>
                  <w:divsChild>
                    <w:div w:id="1169446494">
                      <w:marLeft w:val="0"/>
                      <w:marRight w:val="0"/>
                      <w:marTop w:val="0"/>
                      <w:marBottom w:val="0"/>
                      <w:divBdr>
                        <w:top w:val="none" w:sz="0" w:space="0" w:color="auto"/>
                        <w:left w:val="none" w:sz="0" w:space="0" w:color="auto"/>
                        <w:bottom w:val="none" w:sz="0" w:space="0" w:color="auto"/>
                        <w:right w:val="none" w:sz="0" w:space="0" w:color="auto"/>
                      </w:divBdr>
                    </w:div>
                  </w:divsChild>
                </w:div>
                <w:div w:id="57435661">
                  <w:marLeft w:val="0"/>
                  <w:marRight w:val="0"/>
                  <w:marTop w:val="0"/>
                  <w:marBottom w:val="0"/>
                  <w:divBdr>
                    <w:top w:val="none" w:sz="0" w:space="0" w:color="auto"/>
                    <w:left w:val="none" w:sz="0" w:space="0" w:color="auto"/>
                    <w:bottom w:val="none" w:sz="0" w:space="0" w:color="auto"/>
                    <w:right w:val="none" w:sz="0" w:space="0" w:color="auto"/>
                  </w:divBdr>
                  <w:divsChild>
                    <w:div w:id="1178883315">
                      <w:marLeft w:val="0"/>
                      <w:marRight w:val="0"/>
                      <w:marTop w:val="0"/>
                      <w:marBottom w:val="0"/>
                      <w:divBdr>
                        <w:top w:val="none" w:sz="0" w:space="0" w:color="auto"/>
                        <w:left w:val="none" w:sz="0" w:space="0" w:color="auto"/>
                        <w:bottom w:val="none" w:sz="0" w:space="0" w:color="auto"/>
                        <w:right w:val="none" w:sz="0" w:space="0" w:color="auto"/>
                      </w:divBdr>
                    </w:div>
                  </w:divsChild>
                </w:div>
                <w:div w:id="154230269">
                  <w:marLeft w:val="0"/>
                  <w:marRight w:val="0"/>
                  <w:marTop w:val="0"/>
                  <w:marBottom w:val="0"/>
                  <w:divBdr>
                    <w:top w:val="none" w:sz="0" w:space="0" w:color="auto"/>
                    <w:left w:val="none" w:sz="0" w:space="0" w:color="auto"/>
                    <w:bottom w:val="none" w:sz="0" w:space="0" w:color="auto"/>
                    <w:right w:val="none" w:sz="0" w:space="0" w:color="auto"/>
                  </w:divBdr>
                  <w:divsChild>
                    <w:div w:id="1700081871">
                      <w:marLeft w:val="0"/>
                      <w:marRight w:val="0"/>
                      <w:marTop w:val="0"/>
                      <w:marBottom w:val="0"/>
                      <w:divBdr>
                        <w:top w:val="none" w:sz="0" w:space="0" w:color="auto"/>
                        <w:left w:val="none" w:sz="0" w:space="0" w:color="auto"/>
                        <w:bottom w:val="none" w:sz="0" w:space="0" w:color="auto"/>
                        <w:right w:val="none" w:sz="0" w:space="0" w:color="auto"/>
                      </w:divBdr>
                    </w:div>
                  </w:divsChild>
                </w:div>
                <w:div w:id="172033498">
                  <w:marLeft w:val="0"/>
                  <w:marRight w:val="0"/>
                  <w:marTop w:val="0"/>
                  <w:marBottom w:val="0"/>
                  <w:divBdr>
                    <w:top w:val="none" w:sz="0" w:space="0" w:color="auto"/>
                    <w:left w:val="none" w:sz="0" w:space="0" w:color="auto"/>
                    <w:bottom w:val="none" w:sz="0" w:space="0" w:color="auto"/>
                    <w:right w:val="none" w:sz="0" w:space="0" w:color="auto"/>
                  </w:divBdr>
                  <w:divsChild>
                    <w:div w:id="168256416">
                      <w:marLeft w:val="0"/>
                      <w:marRight w:val="0"/>
                      <w:marTop w:val="0"/>
                      <w:marBottom w:val="0"/>
                      <w:divBdr>
                        <w:top w:val="none" w:sz="0" w:space="0" w:color="auto"/>
                        <w:left w:val="none" w:sz="0" w:space="0" w:color="auto"/>
                        <w:bottom w:val="none" w:sz="0" w:space="0" w:color="auto"/>
                        <w:right w:val="none" w:sz="0" w:space="0" w:color="auto"/>
                      </w:divBdr>
                    </w:div>
                  </w:divsChild>
                </w:div>
                <w:div w:id="175848362">
                  <w:marLeft w:val="0"/>
                  <w:marRight w:val="0"/>
                  <w:marTop w:val="0"/>
                  <w:marBottom w:val="0"/>
                  <w:divBdr>
                    <w:top w:val="none" w:sz="0" w:space="0" w:color="auto"/>
                    <w:left w:val="none" w:sz="0" w:space="0" w:color="auto"/>
                    <w:bottom w:val="none" w:sz="0" w:space="0" w:color="auto"/>
                    <w:right w:val="none" w:sz="0" w:space="0" w:color="auto"/>
                  </w:divBdr>
                  <w:divsChild>
                    <w:div w:id="1681422985">
                      <w:marLeft w:val="0"/>
                      <w:marRight w:val="0"/>
                      <w:marTop w:val="0"/>
                      <w:marBottom w:val="0"/>
                      <w:divBdr>
                        <w:top w:val="none" w:sz="0" w:space="0" w:color="auto"/>
                        <w:left w:val="none" w:sz="0" w:space="0" w:color="auto"/>
                        <w:bottom w:val="none" w:sz="0" w:space="0" w:color="auto"/>
                        <w:right w:val="none" w:sz="0" w:space="0" w:color="auto"/>
                      </w:divBdr>
                    </w:div>
                  </w:divsChild>
                </w:div>
                <w:div w:id="218444286">
                  <w:marLeft w:val="0"/>
                  <w:marRight w:val="0"/>
                  <w:marTop w:val="0"/>
                  <w:marBottom w:val="0"/>
                  <w:divBdr>
                    <w:top w:val="none" w:sz="0" w:space="0" w:color="auto"/>
                    <w:left w:val="none" w:sz="0" w:space="0" w:color="auto"/>
                    <w:bottom w:val="none" w:sz="0" w:space="0" w:color="auto"/>
                    <w:right w:val="none" w:sz="0" w:space="0" w:color="auto"/>
                  </w:divBdr>
                  <w:divsChild>
                    <w:div w:id="53624770">
                      <w:marLeft w:val="0"/>
                      <w:marRight w:val="0"/>
                      <w:marTop w:val="0"/>
                      <w:marBottom w:val="0"/>
                      <w:divBdr>
                        <w:top w:val="none" w:sz="0" w:space="0" w:color="auto"/>
                        <w:left w:val="none" w:sz="0" w:space="0" w:color="auto"/>
                        <w:bottom w:val="none" w:sz="0" w:space="0" w:color="auto"/>
                        <w:right w:val="none" w:sz="0" w:space="0" w:color="auto"/>
                      </w:divBdr>
                    </w:div>
                  </w:divsChild>
                </w:div>
                <w:div w:id="242615048">
                  <w:marLeft w:val="0"/>
                  <w:marRight w:val="0"/>
                  <w:marTop w:val="0"/>
                  <w:marBottom w:val="0"/>
                  <w:divBdr>
                    <w:top w:val="none" w:sz="0" w:space="0" w:color="auto"/>
                    <w:left w:val="none" w:sz="0" w:space="0" w:color="auto"/>
                    <w:bottom w:val="none" w:sz="0" w:space="0" w:color="auto"/>
                    <w:right w:val="none" w:sz="0" w:space="0" w:color="auto"/>
                  </w:divBdr>
                  <w:divsChild>
                    <w:div w:id="134493651">
                      <w:marLeft w:val="0"/>
                      <w:marRight w:val="0"/>
                      <w:marTop w:val="0"/>
                      <w:marBottom w:val="0"/>
                      <w:divBdr>
                        <w:top w:val="none" w:sz="0" w:space="0" w:color="auto"/>
                        <w:left w:val="none" w:sz="0" w:space="0" w:color="auto"/>
                        <w:bottom w:val="none" w:sz="0" w:space="0" w:color="auto"/>
                        <w:right w:val="none" w:sz="0" w:space="0" w:color="auto"/>
                      </w:divBdr>
                    </w:div>
                    <w:div w:id="174420517">
                      <w:marLeft w:val="0"/>
                      <w:marRight w:val="0"/>
                      <w:marTop w:val="0"/>
                      <w:marBottom w:val="0"/>
                      <w:divBdr>
                        <w:top w:val="none" w:sz="0" w:space="0" w:color="auto"/>
                        <w:left w:val="none" w:sz="0" w:space="0" w:color="auto"/>
                        <w:bottom w:val="none" w:sz="0" w:space="0" w:color="auto"/>
                        <w:right w:val="none" w:sz="0" w:space="0" w:color="auto"/>
                      </w:divBdr>
                    </w:div>
                    <w:div w:id="514735055">
                      <w:marLeft w:val="0"/>
                      <w:marRight w:val="0"/>
                      <w:marTop w:val="0"/>
                      <w:marBottom w:val="0"/>
                      <w:divBdr>
                        <w:top w:val="none" w:sz="0" w:space="0" w:color="auto"/>
                        <w:left w:val="none" w:sz="0" w:space="0" w:color="auto"/>
                        <w:bottom w:val="none" w:sz="0" w:space="0" w:color="auto"/>
                        <w:right w:val="none" w:sz="0" w:space="0" w:color="auto"/>
                      </w:divBdr>
                    </w:div>
                    <w:div w:id="607467330">
                      <w:marLeft w:val="0"/>
                      <w:marRight w:val="0"/>
                      <w:marTop w:val="0"/>
                      <w:marBottom w:val="0"/>
                      <w:divBdr>
                        <w:top w:val="none" w:sz="0" w:space="0" w:color="auto"/>
                        <w:left w:val="none" w:sz="0" w:space="0" w:color="auto"/>
                        <w:bottom w:val="none" w:sz="0" w:space="0" w:color="auto"/>
                        <w:right w:val="none" w:sz="0" w:space="0" w:color="auto"/>
                      </w:divBdr>
                    </w:div>
                    <w:div w:id="1581790479">
                      <w:marLeft w:val="0"/>
                      <w:marRight w:val="0"/>
                      <w:marTop w:val="0"/>
                      <w:marBottom w:val="0"/>
                      <w:divBdr>
                        <w:top w:val="none" w:sz="0" w:space="0" w:color="auto"/>
                        <w:left w:val="none" w:sz="0" w:space="0" w:color="auto"/>
                        <w:bottom w:val="none" w:sz="0" w:space="0" w:color="auto"/>
                        <w:right w:val="none" w:sz="0" w:space="0" w:color="auto"/>
                      </w:divBdr>
                    </w:div>
                    <w:div w:id="1694646662">
                      <w:marLeft w:val="0"/>
                      <w:marRight w:val="0"/>
                      <w:marTop w:val="0"/>
                      <w:marBottom w:val="0"/>
                      <w:divBdr>
                        <w:top w:val="none" w:sz="0" w:space="0" w:color="auto"/>
                        <w:left w:val="none" w:sz="0" w:space="0" w:color="auto"/>
                        <w:bottom w:val="none" w:sz="0" w:space="0" w:color="auto"/>
                        <w:right w:val="none" w:sz="0" w:space="0" w:color="auto"/>
                      </w:divBdr>
                    </w:div>
                    <w:div w:id="2030913782">
                      <w:marLeft w:val="0"/>
                      <w:marRight w:val="0"/>
                      <w:marTop w:val="0"/>
                      <w:marBottom w:val="0"/>
                      <w:divBdr>
                        <w:top w:val="none" w:sz="0" w:space="0" w:color="auto"/>
                        <w:left w:val="none" w:sz="0" w:space="0" w:color="auto"/>
                        <w:bottom w:val="none" w:sz="0" w:space="0" w:color="auto"/>
                        <w:right w:val="none" w:sz="0" w:space="0" w:color="auto"/>
                      </w:divBdr>
                    </w:div>
                  </w:divsChild>
                </w:div>
                <w:div w:id="312948410">
                  <w:marLeft w:val="0"/>
                  <w:marRight w:val="0"/>
                  <w:marTop w:val="0"/>
                  <w:marBottom w:val="0"/>
                  <w:divBdr>
                    <w:top w:val="none" w:sz="0" w:space="0" w:color="auto"/>
                    <w:left w:val="none" w:sz="0" w:space="0" w:color="auto"/>
                    <w:bottom w:val="none" w:sz="0" w:space="0" w:color="auto"/>
                    <w:right w:val="none" w:sz="0" w:space="0" w:color="auto"/>
                  </w:divBdr>
                  <w:divsChild>
                    <w:div w:id="210196493">
                      <w:marLeft w:val="0"/>
                      <w:marRight w:val="0"/>
                      <w:marTop w:val="0"/>
                      <w:marBottom w:val="0"/>
                      <w:divBdr>
                        <w:top w:val="none" w:sz="0" w:space="0" w:color="auto"/>
                        <w:left w:val="none" w:sz="0" w:space="0" w:color="auto"/>
                        <w:bottom w:val="none" w:sz="0" w:space="0" w:color="auto"/>
                        <w:right w:val="none" w:sz="0" w:space="0" w:color="auto"/>
                      </w:divBdr>
                    </w:div>
                  </w:divsChild>
                </w:div>
                <w:div w:id="364644504">
                  <w:marLeft w:val="0"/>
                  <w:marRight w:val="0"/>
                  <w:marTop w:val="0"/>
                  <w:marBottom w:val="0"/>
                  <w:divBdr>
                    <w:top w:val="none" w:sz="0" w:space="0" w:color="auto"/>
                    <w:left w:val="none" w:sz="0" w:space="0" w:color="auto"/>
                    <w:bottom w:val="none" w:sz="0" w:space="0" w:color="auto"/>
                    <w:right w:val="none" w:sz="0" w:space="0" w:color="auto"/>
                  </w:divBdr>
                  <w:divsChild>
                    <w:div w:id="1533037554">
                      <w:marLeft w:val="0"/>
                      <w:marRight w:val="0"/>
                      <w:marTop w:val="0"/>
                      <w:marBottom w:val="0"/>
                      <w:divBdr>
                        <w:top w:val="none" w:sz="0" w:space="0" w:color="auto"/>
                        <w:left w:val="none" w:sz="0" w:space="0" w:color="auto"/>
                        <w:bottom w:val="none" w:sz="0" w:space="0" w:color="auto"/>
                        <w:right w:val="none" w:sz="0" w:space="0" w:color="auto"/>
                      </w:divBdr>
                    </w:div>
                  </w:divsChild>
                </w:div>
                <w:div w:id="492382306">
                  <w:marLeft w:val="0"/>
                  <w:marRight w:val="0"/>
                  <w:marTop w:val="0"/>
                  <w:marBottom w:val="0"/>
                  <w:divBdr>
                    <w:top w:val="none" w:sz="0" w:space="0" w:color="auto"/>
                    <w:left w:val="none" w:sz="0" w:space="0" w:color="auto"/>
                    <w:bottom w:val="none" w:sz="0" w:space="0" w:color="auto"/>
                    <w:right w:val="none" w:sz="0" w:space="0" w:color="auto"/>
                  </w:divBdr>
                  <w:divsChild>
                    <w:div w:id="944078774">
                      <w:marLeft w:val="0"/>
                      <w:marRight w:val="0"/>
                      <w:marTop w:val="0"/>
                      <w:marBottom w:val="0"/>
                      <w:divBdr>
                        <w:top w:val="none" w:sz="0" w:space="0" w:color="auto"/>
                        <w:left w:val="none" w:sz="0" w:space="0" w:color="auto"/>
                        <w:bottom w:val="none" w:sz="0" w:space="0" w:color="auto"/>
                        <w:right w:val="none" w:sz="0" w:space="0" w:color="auto"/>
                      </w:divBdr>
                    </w:div>
                  </w:divsChild>
                </w:div>
                <w:div w:id="523057559">
                  <w:marLeft w:val="0"/>
                  <w:marRight w:val="0"/>
                  <w:marTop w:val="0"/>
                  <w:marBottom w:val="0"/>
                  <w:divBdr>
                    <w:top w:val="none" w:sz="0" w:space="0" w:color="auto"/>
                    <w:left w:val="none" w:sz="0" w:space="0" w:color="auto"/>
                    <w:bottom w:val="none" w:sz="0" w:space="0" w:color="auto"/>
                    <w:right w:val="none" w:sz="0" w:space="0" w:color="auto"/>
                  </w:divBdr>
                  <w:divsChild>
                    <w:div w:id="1102532281">
                      <w:marLeft w:val="0"/>
                      <w:marRight w:val="0"/>
                      <w:marTop w:val="0"/>
                      <w:marBottom w:val="0"/>
                      <w:divBdr>
                        <w:top w:val="none" w:sz="0" w:space="0" w:color="auto"/>
                        <w:left w:val="none" w:sz="0" w:space="0" w:color="auto"/>
                        <w:bottom w:val="none" w:sz="0" w:space="0" w:color="auto"/>
                        <w:right w:val="none" w:sz="0" w:space="0" w:color="auto"/>
                      </w:divBdr>
                    </w:div>
                  </w:divsChild>
                </w:div>
                <w:div w:id="547841936">
                  <w:marLeft w:val="0"/>
                  <w:marRight w:val="0"/>
                  <w:marTop w:val="0"/>
                  <w:marBottom w:val="0"/>
                  <w:divBdr>
                    <w:top w:val="none" w:sz="0" w:space="0" w:color="auto"/>
                    <w:left w:val="none" w:sz="0" w:space="0" w:color="auto"/>
                    <w:bottom w:val="none" w:sz="0" w:space="0" w:color="auto"/>
                    <w:right w:val="none" w:sz="0" w:space="0" w:color="auto"/>
                  </w:divBdr>
                  <w:divsChild>
                    <w:div w:id="19018940">
                      <w:marLeft w:val="0"/>
                      <w:marRight w:val="0"/>
                      <w:marTop w:val="0"/>
                      <w:marBottom w:val="0"/>
                      <w:divBdr>
                        <w:top w:val="none" w:sz="0" w:space="0" w:color="auto"/>
                        <w:left w:val="none" w:sz="0" w:space="0" w:color="auto"/>
                        <w:bottom w:val="none" w:sz="0" w:space="0" w:color="auto"/>
                        <w:right w:val="none" w:sz="0" w:space="0" w:color="auto"/>
                      </w:divBdr>
                    </w:div>
                  </w:divsChild>
                </w:div>
                <w:div w:id="619840031">
                  <w:marLeft w:val="0"/>
                  <w:marRight w:val="0"/>
                  <w:marTop w:val="0"/>
                  <w:marBottom w:val="0"/>
                  <w:divBdr>
                    <w:top w:val="none" w:sz="0" w:space="0" w:color="auto"/>
                    <w:left w:val="none" w:sz="0" w:space="0" w:color="auto"/>
                    <w:bottom w:val="none" w:sz="0" w:space="0" w:color="auto"/>
                    <w:right w:val="none" w:sz="0" w:space="0" w:color="auto"/>
                  </w:divBdr>
                  <w:divsChild>
                    <w:div w:id="1803843883">
                      <w:marLeft w:val="0"/>
                      <w:marRight w:val="0"/>
                      <w:marTop w:val="0"/>
                      <w:marBottom w:val="0"/>
                      <w:divBdr>
                        <w:top w:val="none" w:sz="0" w:space="0" w:color="auto"/>
                        <w:left w:val="none" w:sz="0" w:space="0" w:color="auto"/>
                        <w:bottom w:val="none" w:sz="0" w:space="0" w:color="auto"/>
                        <w:right w:val="none" w:sz="0" w:space="0" w:color="auto"/>
                      </w:divBdr>
                    </w:div>
                  </w:divsChild>
                </w:div>
                <w:div w:id="646400372">
                  <w:marLeft w:val="0"/>
                  <w:marRight w:val="0"/>
                  <w:marTop w:val="0"/>
                  <w:marBottom w:val="0"/>
                  <w:divBdr>
                    <w:top w:val="none" w:sz="0" w:space="0" w:color="auto"/>
                    <w:left w:val="none" w:sz="0" w:space="0" w:color="auto"/>
                    <w:bottom w:val="none" w:sz="0" w:space="0" w:color="auto"/>
                    <w:right w:val="none" w:sz="0" w:space="0" w:color="auto"/>
                  </w:divBdr>
                  <w:divsChild>
                    <w:div w:id="1535658634">
                      <w:marLeft w:val="0"/>
                      <w:marRight w:val="0"/>
                      <w:marTop w:val="0"/>
                      <w:marBottom w:val="0"/>
                      <w:divBdr>
                        <w:top w:val="none" w:sz="0" w:space="0" w:color="auto"/>
                        <w:left w:val="none" w:sz="0" w:space="0" w:color="auto"/>
                        <w:bottom w:val="none" w:sz="0" w:space="0" w:color="auto"/>
                        <w:right w:val="none" w:sz="0" w:space="0" w:color="auto"/>
                      </w:divBdr>
                    </w:div>
                  </w:divsChild>
                </w:div>
                <w:div w:id="665597113">
                  <w:marLeft w:val="0"/>
                  <w:marRight w:val="0"/>
                  <w:marTop w:val="0"/>
                  <w:marBottom w:val="0"/>
                  <w:divBdr>
                    <w:top w:val="none" w:sz="0" w:space="0" w:color="auto"/>
                    <w:left w:val="none" w:sz="0" w:space="0" w:color="auto"/>
                    <w:bottom w:val="none" w:sz="0" w:space="0" w:color="auto"/>
                    <w:right w:val="none" w:sz="0" w:space="0" w:color="auto"/>
                  </w:divBdr>
                  <w:divsChild>
                    <w:div w:id="1401633724">
                      <w:marLeft w:val="0"/>
                      <w:marRight w:val="0"/>
                      <w:marTop w:val="0"/>
                      <w:marBottom w:val="0"/>
                      <w:divBdr>
                        <w:top w:val="none" w:sz="0" w:space="0" w:color="auto"/>
                        <w:left w:val="none" w:sz="0" w:space="0" w:color="auto"/>
                        <w:bottom w:val="none" w:sz="0" w:space="0" w:color="auto"/>
                        <w:right w:val="none" w:sz="0" w:space="0" w:color="auto"/>
                      </w:divBdr>
                    </w:div>
                  </w:divsChild>
                </w:div>
                <w:div w:id="668295893">
                  <w:marLeft w:val="0"/>
                  <w:marRight w:val="0"/>
                  <w:marTop w:val="0"/>
                  <w:marBottom w:val="0"/>
                  <w:divBdr>
                    <w:top w:val="none" w:sz="0" w:space="0" w:color="auto"/>
                    <w:left w:val="none" w:sz="0" w:space="0" w:color="auto"/>
                    <w:bottom w:val="none" w:sz="0" w:space="0" w:color="auto"/>
                    <w:right w:val="none" w:sz="0" w:space="0" w:color="auto"/>
                  </w:divBdr>
                  <w:divsChild>
                    <w:div w:id="1100953598">
                      <w:marLeft w:val="0"/>
                      <w:marRight w:val="0"/>
                      <w:marTop w:val="0"/>
                      <w:marBottom w:val="0"/>
                      <w:divBdr>
                        <w:top w:val="none" w:sz="0" w:space="0" w:color="auto"/>
                        <w:left w:val="none" w:sz="0" w:space="0" w:color="auto"/>
                        <w:bottom w:val="none" w:sz="0" w:space="0" w:color="auto"/>
                        <w:right w:val="none" w:sz="0" w:space="0" w:color="auto"/>
                      </w:divBdr>
                    </w:div>
                  </w:divsChild>
                </w:div>
                <w:div w:id="741368700">
                  <w:marLeft w:val="0"/>
                  <w:marRight w:val="0"/>
                  <w:marTop w:val="0"/>
                  <w:marBottom w:val="0"/>
                  <w:divBdr>
                    <w:top w:val="none" w:sz="0" w:space="0" w:color="auto"/>
                    <w:left w:val="none" w:sz="0" w:space="0" w:color="auto"/>
                    <w:bottom w:val="none" w:sz="0" w:space="0" w:color="auto"/>
                    <w:right w:val="none" w:sz="0" w:space="0" w:color="auto"/>
                  </w:divBdr>
                  <w:divsChild>
                    <w:div w:id="339740607">
                      <w:marLeft w:val="0"/>
                      <w:marRight w:val="0"/>
                      <w:marTop w:val="0"/>
                      <w:marBottom w:val="0"/>
                      <w:divBdr>
                        <w:top w:val="none" w:sz="0" w:space="0" w:color="auto"/>
                        <w:left w:val="none" w:sz="0" w:space="0" w:color="auto"/>
                        <w:bottom w:val="none" w:sz="0" w:space="0" w:color="auto"/>
                        <w:right w:val="none" w:sz="0" w:space="0" w:color="auto"/>
                      </w:divBdr>
                    </w:div>
                  </w:divsChild>
                </w:div>
                <w:div w:id="884753552">
                  <w:marLeft w:val="0"/>
                  <w:marRight w:val="0"/>
                  <w:marTop w:val="0"/>
                  <w:marBottom w:val="0"/>
                  <w:divBdr>
                    <w:top w:val="none" w:sz="0" w:space="0" w:color="auto"/>
                    <w:left w:val="none" w:sz="0" w:space="0" w:color="auto"/>
                    <w:bottom w:val="none" w:sz="0" w:space="0" w:color="auto"/>
                    <w:right w:val="none" w:sz="0" w:space="0" w:color="auto"/>
                  </w:divBdr>
                  <w:divsChild>
                    <w:div w:id="1312446148">
                      <w:marLeft w:val="0"/>
                      <w:marRight w:val="0"/>
                      <w:marTop w:val="0"/>
                      <w:marBottom w:val="0"/>
                      <w:divBdr>
                        <w:top w:val="none" w:sz="0" w:space="0" w:color="auto"/>
                        <w:left w:val="none" w:sz="0" w:space="0" w:color="auto"/>
                        <w:bottom w:val="none" w:sz="0" w:space="0" w:color="auto"/>
                        <w:right w:val="none" w:sz="0" w:space="0" w:color="auto"/>
                      </w:divBdr>
                    </w:div>
                  </w:divsChild>
                </w:div>
                <w:div w:id="940338890">
                  <w:marLeft w:val="0"/>
                  <w:marRight w:val="0"/>
                  <w:marTop w:val="0"/>
                  <w:marBottom w:val="0"/>
                  <w:divBdr>
                    <w:top w:val="none" w:sz="0" w:space="0" w:color="auto"/>
                    <w:left w:val="none" w:sz="0" w:space="0" w:color="auto"/>
                    <w:bottom w:val="none" w:sz="0" w:space="0" w:color="auto"/>
                    <w:right w:val="none" w:sz="0" w:space="0" w:color="auto"/>
                  </w:divBdr>
                  <w:divsChild>
                    <w:div w:id="1925604824">
                      <w:marLeft w:val="0"/>
                      <w:marRight w:val="0"/>
                      <w:marTop w:val="0"/>
                      <w:marBottom w:val="0"/>
                      <w:divBdr>
                        <w:top w:val="none" w:sz="0" w:space="0" w:color="auto"/>
                        <w:left w:val="none" w:sz="0" w:space="0" w:color="auto"/>
                        <w:bottom w:val="none" w:sz="0" w:space="0" w:color="auto"/>
                        <w:right w:val="none" w:sz="0" w:space="0" w:color="auto"/>
                      </w:divBdr>
                    </w:div>
                  </w:divsChild>
                </w:div>
                <w:div w:id="941648241">
                  <w:marLeft w:val="0"/>
                  <w:marRight w:val="0"/>
                  <w:marTop w:val="0"/>
                  <w:marBottom w:val="0"/>
                  <w:divBdr>
                    <w:top w:val="none" w:sz="0" w:space="0" w:color="auto"/>
                    <w:left w:val="none" w:sz="0" w:space="0" w:color="auto"/>
                    <w:bottom w:val="none" w:sz="0" w:space="0" w:color="auto"/>
                    <w:right w:val="none" w:sz="0" w:space="0" w:color="auto"/>
                  </w:divBdr>
                  <w:divsChild>
                    <w:div w:id="1565406096">
                      <w:marLeft w:val="0"/>
                      <w:marRight w:val="0"/>
                      <w:marTop w:val="0"/>
                      <w:marBottom w:val="0"/>
                      <w:divBdr>
                        <w:top w:val="none" w:sz="0" w:space="0" w:color="auto"/>
                        <w:left w:val="none" w:sz="0" w:space="0" w:color="auto"/>
                        <w:bottom w:val="none" w:sz="0" w:space="0" w:color="auto"/>
                        <w:right w:val="none" w:sz="0" w:space="0" w:color="auto"/>
                      </w:divBdr>
                    </w:div>
                  </w:divsChild>
                </w:div>
                <w:div w:id="960302480">
                  <w:marLeft w:val="0"/>
                  <w:marRight w:val="0"/>
                  <w:marTop w:val="0"/>
                  <w:marBottom w:val="0"/>
                  <w:divBdr>
                    <w:top w:val="none" w:sz="0" w:space="0" w:color="auto"/>
                    <w:left w:val="none" w:sz="0" w:space="0" w:color="auto"/>
                    <w:bottom w:val="none" w:sz="0" w:space="0" w:color="auto"/>
                    <w:right w:val="none" w:sz="0" w:space="0" w:color="auto"/>
                  </w:divBdr>
                  <w:divsChild>
                    <w:div w:id="1202011939">
                      <w:marLeft w:val="0"/>
                      <w:marRight w:val="0"/>
                      <w:marTop w:val="0"/>
                      <w:marBottom w:val="0"/>
                      <w:divBdr>
                        <w:top w:val="none" w:sz="0" w:space="0" w:color="auto"/>
                        <w:left w:val="none" w:sz="0" w:space="0" w:color="auto"/>
                        <w:bottom w:val="none" w:sz="0" w:space="0" w:color="auto"/>
                        <w:right w:val="none" w:sz="0" w:space="0" w:color="auto"/>
                      </w:divBdr>
                    </w:div>
                  </w:divsChild>
                </w:div>
                <w:div w:id="1086851435">
                  <w:marLeft w:val="0"/>
                  <w:marRight w:val="0"/>
                  <w:marTop w:val="0"/>
                  <w:marBottom w:val="0"/>
                  <w:divBdr>
                    <w:top w:val="none" w:sz="0" w:space="0" w:color="auto"/>
                    <w:left w:val="none" w:sz="0" w:space="0" w:color="auto"/>
                    <w:bottom w:val="none" w:sz="0" w:space="0" w:color="auto"/>
                    <w:right w:val="none" w:sz="0" w:space="0" w:color="auto"/>
                  </w:divBdr>
                  <w:divsChild>
                    <w:div w:id="1570579093">
                      <w:marLeft w:val="0"/>
                      <w:marRight w:val="0"/>
                      <w:marTop w:val="0"/>
                      <w:marBottom w:val="0"/>
                      <w:divBdr>
                        <w:top w:val="none" w:sz="0" w:space="0" w:color="auto"/>
                        <w:left w:val="none" w:sz="0" w:space="0" w:color="auto"/>
                        <w:bottom w:val="none" w:sz="0" w:space="0" w:color="auto"/>
                        <w:right w:val="none" w:sz="0" w:space="0" w:color="auto"/>
                      </w:divBdr>
                    </w:div>
                  </w:divsChild>
                </w:div>
                <w:div w:id="1174029828">
                  <w:marLeft w:val="0"/>
                  <w:marRight w:val="0"/>
                  <w:marTop w:val="0"/>
                  <w:marBottom w:val="0"/>
                  <w:divBdr>
                    <w:top w:val="none" w:sz="0" w:space="0" w:color="auto"/>
                    <w:left w:val="none" w:sz="0" w:space="0" w:color="auto"/>
                    <w:bottom w:val="none" w:sz="0" w:space="0" w:color="auto"/>
                    <w:right w:val="none" w:sz="0" w:space="0" w:color="auto"/>
                  </w:divBdr>
                  <w:divsChild>
                    <w:div w:id="1853690009">
                      <w:marLeft w:val="0"/>
                      <w:marRight w:val="0"/>
                      <w:marTop w:val="0"/>
                      <w:marBottom w:val="0"/>
                      <w:divBdr>
                        <w:top w:val="none" w:sz="0" w:space="0" w:color="auto"/>
                        <w:left w:val="none" w:sz="0" w:space="0" w:color="auto"/>
                        <w:bottom w:val="none" w:sz="0" w:space="0" w:color="auto"/>
                        <w:right w:val="none" w:sz="0" w:space="0" w:color="auto"/>
                      </w:divBdr>
                    </w:div>
                  </w:divsChild>
                </w:div>
                <w:div w:id="1190409323">
                  <w:marLeft w:val="0"/>
                  <w:marRight w:val="0"/>
                  <w:marTop w:val="0"/>
                  <w:marBottom w:val="0"/>
                  <w:divBdr>
                    <w:top w:val="none" w:sz="0" w:space="0" w:color="auto"/>
                    <w:left w:val="none" w:sz="0" w:space="0" w:color="auto"/>
                    <w:bottom w:val="none" w:sz="0" w:space="0" w:color="auto"/>
                    <w:right w:val="none" w:sz="0" w:space="0" w:color="auto"/>
                  </w:divBdr>
                  <w:divsChild>
                    <w:div w:id="452402880">
                      <w:marLeft w:val="0"/>
                      <w:marRight w:val="0"/>
                      <w:marTop w:val="0"/>
                      <w:marBottom w:val="0"/>
                      <w:divBdr>
                        <w:top w:val="none" w:sz="0" w:space="0" w:color="auto"/>
                        <w:left w:val="none" w:sz="0" w:space="0" w:color="auto"/>
                        <w:bottom w:val="none" w:sz="0" w:space="0" w:color="auto"/>
                        <w:right w:val="none" w:sz="0" w:space="0" w:color="auto"/>
                      </w:divBdr>
                    </w:div>
                  </w:divsChild>
                </w:div>
                <w:div w:id="1261372229">
                  <w:marLeft w:val="0"/>
                  <w:marRight w:val="0"/>
                  <w:marTop w:val="0"/>
                  <w:marBottom w:val="0"/>
                  <w:divBdr>
                    <w:top w:val="none" w:sz="0" w:space="0" w:color="auto"/>
                    <w:left w:val="none" w:sz="0" w:space="0" w:color="auto"/>
                    <w:bottom w:val="none" w:sz="0" w:space="0" w:color="auto"/>
                    <w:right w:val="none" w:sz="0" w:space="0" w:color="auto"/>
                  </w:divBdr>
                  <w:divsChild>
                    <w:div w:id="63795480">
                      <w:marLeft w:val="0"/>
                      <w:marRight w:val="0"/>
                      <w:marTop w:val="0"/>
                      <w:marBottom w:val="0"/>
                      <w:divBdr>
                        <w:top w:val="none" w:sz="0" w:space="0" w:color="auto"/>
                        <w:left w:val="none" w:sz="0" w:space="0" w:color="auto"/>
                        <w:bottom w:val="none" w:sz="0" w:space="0" w:color="auto"/>
                        <w:right w:val="none" w:sz="0" w:space="0" w:color="auto"/>
                      </w:divBdr>
                    </w:div>
                  </w:divsChild>
                </w:div>
                <w:div w:id="1271426962">
                  <w:marLeft w:val="0"/>
                  <w:marRight w:val="0"/>
                  <w:marTop w:val="0"/>
                  <w:marBottom w:val="0"/>
                  <w:divBdr>
                    <w:top w:val="none" w:sz="0" w:space="0" w:color="auto"/>
                    <w:left w:val="none" w:sz="0" w:space="0" w:color="auto"/>
                    <w:bottom w:val="none" w:sz="0" w:space="0" w:color="auto"/>
                    <w:right w:val="none" w:sz="0" w:space="0" w:color="auto"/>
                  </w:divBdr>
                  <w:divsChild>
                    <w:div w:id="432095852">
                      <w:marLeft w:val="0"/>
                      <w:marRight w:val="0"/>
                      <w:marTop w:val="0"/>
                      <w:marBottom w:val="0"/>
                      <w:divBdr>
                        <w:top w:val="none" w:sz="0" w:space="0" w:color="auto"/>
                        <w:left w:val="none" w:sz="0" w:space="0" w:color="auto"/>
                        <w:bottom w:val="none" w:sz="0" w:space="0" w:color="auto"/>
                        <w:right w:val="none" w:sz="0" w:space="0" w:color="auto"/>
                      </w:divBdr>
                    </w:div>
                  </w:divsChild>
                </w:div>
                <w:div w:id="1275675313">
                  <w:marLeft w:val="0"/>
                  <w:marRight w:val="0"/>
                  <w:marTop w:val="0"/>
                  <w:marBottom w:val="0"/>
                  <w:divBdr>
                    <w:top w:val="none" w:sz="0" w:space="0" w:color="auto"/>
                    <w:left w:val="none" w:sz="0" w:space="0" w:color="auto"/>
                    <w:bottom w:val="none" w:sz="0" w:space="0" w:color="auto"/>
                    <w:right w:val="none" w:sz="0" w:space="0" w:color="auto"/>
                  </w:divBdr>
                  <w:divsChild>
                    <w:div w:id="1294750955">
                      <w:marLeft w:val="0"/>
                      <w:marRight w:val="0"/>
                      <w:marTop w:val="0"/>
                      <w:marBottom w:val="0"/>
                      <w:divBdr>
                        <w:top w:val="none" w:sz="0" w:space="0" w:color="auto"/>
                        <w:left w:val="none" w:sz="0" w:space="0" w:color="auto"/>
                        <w:bottom w:val="none" w:sz="0" w:space="0" w:color="auto"/>
                        <w:right w:val="none" w:sz="0" w:space="0" w:color="auto"/>
                      </w:divBdr>
                    </w:div>
                  </w:divsChild>
                </w:div>
                <w:div w:id="1335113212">
                  <w:marLeft w:val="0"/>
                  <w:marRight w:val="0"/>
                  <w:marTop w:val="0"/>
                  <w:marBottom w:val="0"/>
                  <w:divBdr>
                    <w:top w:val="none" w:sz="0" w:space="0" w:color="auto"/>
                    <w:left w:val="none" w:sz="0" w:space="0" w:color="auto"/>
                    <w:bottom w:val="none" w:sz="0" w:space="0" w:color="auto"/>
                    <w:right w:val="none" w:sz="0" w:space="0" w:color="auto"/>
                  </w:divBdr>
                  <w:divsChild>
                    <w:div w:id="371613454">
                      <w:marLeft w:val="0"/>
                      <w:marRight w:val="0"/>
                      <w:marTop w:val="0"/>
                      <w:marBottom w:val="0"/>
                      <w:divBdr>
                        <w:top w:val="none" w:sz="0" w:space="0" w:color="auto"/>
                        <w:left w:val="none" w:sz="0" w:space="0" w:color="auto"/>
                        <w:bottom w:val="none" w:sz="0" w:space="0" w:color="auto"/>
                        <w:right w:val="none" w:sz="0" w:space="0" w:color="auto"/>
                      </w:divBdr>
                    </w:div>
                  </w:divsChild>
                </w:div>
                <w:div w:id="1346244613">
                  <w:marLeft w:val="0"/>
                  <w:marRight w:val="0"/>
                  <w:marTop w:val="0"/>
                  <w:marBottom w:val="0"/>
                  <w:divBdr>
                    <w:top w:val="none" w:sz="0" w:space="0" w:color="auto"/>
                    <w:left w:val="none" w:sz="0" w:space="0" w:color="auto"/>
                    <w:bottom w:val="none" w:sz="0" w:space="0" w:color="auto"/>
                    <w:right w:val="none" w:sz="0" w:space="0" w:color="auto"/>
                  </w:divBdr>
                  <w:divsChild>
                    <w:div w:id="1410008009">
                      <w:marLeft w:val="0"/>
                      <w:marRight w:val="0"/>
                      <w:marTop w:val="0"/>
                      <w:marBottom w:val="0"/>
                      <w:divBdr>
                        <w:top w:val="none" w:sz="0" w:space="0" w:color="auto"/>
                        <w:left w:val="none" w:sz="0" w:space="0" w:color="auto"/>
                        <w:bottom w:val="none" w:sz="0" w:space="0" w:color="auto"/>
                        <w:right w:val="none" w:sz="0" w:space="0" w:color="auto"/>
                      </w:divBdr>
                    </w:div>
                  </w:divsChild>
                </w:div>
                <w:div w:id="1363869761">
                  <w:marLeft w:val="0"/>
                  <w:marRight w:val="0"/>
                  <w:marTop w:val="0"/>
                  <w:marBottom w:val="0"/>
                  <w:divBdr>
                    <w:top w:val="none" w:sz="0" w:space="0" w:color="auto"/>
                    <w:left w:val="none" w:sz="0" w:space="0" w:color="auto"/>
                    <w:bottom w:val="none" w:sz="0" w:space="0" w:color="auto"/>
                    <w:right w:val="none" w:sz="0" w:space="0" w:color="auto"/>
                  </w:divBdr>
                  <w:divsChild>
                    <w:div w:id="895626615">
                      <w:marLeft w:val="0"/>
                      <w:marRight w:val="0"/>
                      <w:marTop w:val="0"/>
                      <w:marBottom w:val="0"/>
                      <w:divBdr>
                        <w:top w:val="none" w:sz="0" w:space="0" w:color="auto"/>
                        <w:left w:val="none" w:sz="0" w:space="0" w:color="auto"/>
                        <w:bottom w:val="none" w:sz="0" w:space="0" w:color="auto"/>
                        <w:right w:val="none" w:sz="0" w:space="0" w:color="auto"/>
                      </w:divBdr>
                    </w:div>
                  </w:divsChild>
                </w:div>
                <w:div w:id="1387030187">
                  <w:marLeft w:val="0"/>
                  <w:marRight w:val="0"/>
                  <w:marTop w:val="0"/>
                  <w:marBottom w:val="0"/>
                  <w:divBdr>
                    <w:top w:val="none" w:sz="0" w:space="0" w:color="auto"/>
                    <w:left w:val="none" w:sz="0" w:space="0" w:color="auto"/>
                    <w:bottom w:val="none" w:sz="0" w:space="0" w:color="auto"/>
                    <w:right w:val="none" w:sz="0" w:space="0" w:color="auto"/>
                  </w:divBdr>
                  <w:divsChild>
                    <w:div w:id="888344716">
                      <w:marLeft w:val="0"/>
                      <w:marRight w:val="0"/>
                      <w:marTop w:val="0"/>
                      <w:marBottom w:val="0"/>
                      <w:divBdr>
                        <w:top w:val="none" w:sz="0" w:space="0" w:color="auto"/>
                        <w:left w:val="none" w:sz="0" w:space="0" w:color="auto"/>
                        <w:bottom w:val="none" w:sz="0" w:space="0" w:color="auto"/>
                        <w:right w:val="none" w:sz="0" w:space="0" w:color="auto"/>
                      </w:divBdr>
                    </w:div>
                  </w:divsChild>
                </w:div>
                <w:div w:id="1575041170">
                  <w:marLeft w:val="0"/>
                  <w:marRight w:val="0"/>
                  <w:marTop w:val="0"/>
                  <w:marBottom w:val="0"/>
                  <w:divBdr>
                    <w:top w:val="none" w:sz="0" w:space="0" w:color="auto"/>
                    <w:left w:val="none" w:sz="0" w:space="0" w:color="auto"/>
                    <w:bottom w:val="none" w:sz="0" w:space="0" w:color="auto"/>
                    <w:right w:val="none" w:sz="0" w:space="0" w:color="auto"/>
                  </w:divBdr>
                  <w:divsChild>
                    <w:div w:id="47535072">
                      <w:marLeft w:val="0"/>
                      <w:marRight w:val="0"/>
                      <w:marTop w:val="0"/>
                      <w:marBottom w:val="0"/>
                      <w:divBdr>
                        <w:top w:val="none" w:sz="0" w:space="0" w:color="auto"/>
                        <w:left w:val="none" w:sz="0" w:space="0" w:color="auto"/>
                        <w:bottom w:val="none" w:sz="0" w:space="0" w:color="auto"/>
                        <w:right w:val="none" w:sz="0" w:space="0" w:color="auto"/>
                      </w:divBdr>
                    </w:div>
                    <w:div w:id="374935780">
                      <w:marLeft w:val="0"/>
                      <w:marRight w:val="0"/>
                      <w:marTop w:val="0"/>
                      <w:marBottom w:val="0"/>
                      <w:divBdr>
                        <w:top w:val="none" w:sz="0" w:space="0" w:color="auto"/>
                        <w:left w:val="none" w:sz="0" w:space="0" w:color="auto"/>
                        <w:bottom w:val="none" w:sz="0" w:space="0" w:color="auto"/>
                        <w:right w:val="none" w:sz="0" w:space="0" w:color="auto"/>
                      </w:divBdr>
                    </w:div>
                    <w:div w:id="1082994004">
                      <w:marLeft w:val="0"/>
                      <w:marRight w:val="0"/>
                      <w:marTop w:val="0"/>
                      <w:marBottom w:val="0"/>
                      <w:divBdr>
                        <w:top w:val="none" w:sz="0" w:space="0" w:color="auto"/>
                        <w:left w:val="none" w:sz="0" w:space="0" w:color="auto"/>
                        <w:bottom w:val="none" w:sz="0" w:space="0" w:color="auto"/>
                        <w:right w:val="none" w:sz="0" w:space="0" w:color="auto"/>
                      </w:divBdr>
                    </w:div>
                    <w:div w:id="1683508709">
                      <w:marLeft w:val="0"/>
                      <w:marRight w:val="0"/>
                      <w:marTop w:val="0"/>
                      <w:marBottom w:val="0"/>
                      <w:divBdr>
                        <w:top w:val="none" w:sz="0" w:space="0" w:color="auto"/>
                        <w:left w:val="none" w:sz="0" w:space="0" w:color="auto"/>
                        <w:bottom w:val="none" w:sz="0" w:space="0" w:color="auto"/>
                        <w:right w:val="none" w:sz="0" w:space="0" w:color="auto"/>
                      </w:divBdr>
                    </w:div>
                  </w:divsChild>
                </w:div>
                <w:div w:id="1583174795">
                  <w:marLeft w:val="0"/>
                  <w:marRight w:val="0"/>
                  <w:marTop w:val="0"/>
                  <w:marBottom w:val="0"/>
                  <w:divBdr>
                    <w:top w:val="none" w:sz="0" w:space="0" w:color="auto"/>
                    <w:left w:val="none" w:sz="0" w:space="0" w:color="auto"/>
                    <w:bottom w:val="none" w:sz="0" w:space="0" w:color="auto"/>
                    <w:right w:val="none" w:sz="0" w:space="0" w:color="auto"/>
                  </w:divBdr>
                  <w:divsChild>
                    <w:div w:id="817573760">
                      <w:marLeft w:val="0"/>
                      <w:marRight w:val="0"/>
                      <w:marTop w:val="0"/>
                      <w:marBottom w:val="0"/>
                      <w:divBdr>
                        <w:top w:val="none" w:sz="0" w:space="0" w:color="auto"/>
                        <w:left w:val="none" w:sz="0" w:space="0" w:color="auto"/>
                        <w:bottom w:val="none" w:sz="0" w:space="0" w:color="auto"/>
                        <w:right w:val="none" w:sz="0" w:space="0" w:color="auto"/>
                      </w:divBdr>
                    </w:div>
                  </w:divsChild>
                </w:div>
                <w:div w:id="1604411445">
                  <w:marLeft w:val="0"/>
                  <w:marRight w:val="0"/>
                  <w:marTop w:val="0"/>
                  <w:marBottom w:val="0"/>
                  <w:divBdr>
                    <w:top w:val="none" w:sz="0" w:space="0" w:color="auto"/>
                    <w:left w:val="none" w:sz="0" w:space="0" w:color="auto"/>
                    <w:bottom w:val="none" w:sz="0" w:space="0" w:color="auto"/>
                    <w:right w:val="none" w:sz="0" w:space="0" w:color="auto"/>
                  </w:divBdr>
                  <w:divsChild>
                    <w:div w:id="505025239">
                      <w:marLeft w:val="0"/>
                      <w:marRight w:val="0"/>
                      <w:marTop w:val="0"/>
                      <w:marBottom w:val="0"/>
                      <w:divBdr>
                        <w:top w:val="none" w:sz="0" w:space="0" w:color="auto"/>
                        <w:left w:val="none" w:sz="0" w:space="0" w:color="auto"/>
                        <w:bottom w:val="none" w:sz="0" w:space="0" w:color="auto"/>
                        <w:right w:val="none" w:sz="0" w:space="0" w:color="auto"/>
                      </w:divBdr>
                    </w:div>
                  </w:divsChild>
                </w:div>
                <w:div w:id="1642533882">
                  <w:marLeft w:val="0"/>
                  <w:marRight w:val="0"/>
                  <w:marTop w:val="0"/>
                  <w:marBottom w:val="0"/>
                  <w:divBdr>
                    <w:top w:val="none" w:sz="0" w:space="0" w:color="auto"/>
                    <w:left w:val="none" w:sz="0" w:space="0" w:color="auto"/>
                    <w:bottom w:val="none" w:sz="0" w:space="0" w:color="auto"/>
                    <w:right w:val="none" w:sz="0" w:space="0" w:color="auto"/>
                  </w:divBdr>
                  <w:divsChild>
                    <w:div w:id="724764622">
                      <w:marLeft w:val="0"/>
                      <w:marRight w:val="0"/>
                      <w:marTop w:val="0"/>
                      <w:marBottom w:val="0"/>
                      <w:divBdr>
                        <w:top w:val="none" w:sz="0" w:space="0" w:color="auto"/>
                        <w:left w:val="none" w:sz="0" w:space="0" w:color="auto"/>
                        <w:bottom w:val="none" w:sz="0" w:space="0" w:color="auto"/>
                        <w:right w:val="none" w:sz="0" w:space="0" w:color="auto"/>
                      </w:divBdr>
                    </w:div>
                  </w:divsChild>
                </w:div>
                <w:div w:id="1644845554">
                  <w:marLeft w:val="0"/>
                  <w:marRight w:val="0"/>
                  <w:marTop w:val="0"/>
                  <w:marBottom w:val="0"/>
                  <w:divBdr>
                    <w:top w:val="none" w:sz="0" w:space="0" w:color="auto"/>
                    <w:left w:val="none" w:sz="0" w:space="0" w:color="auto"/>
                    <w:bottom w:val="none" w:sz="0" w:space="0" w:color="auto"/>
                    <w:right w:val="none" w:sz="0" w:space="0" w:color="auto"/>
                  </w:divBdr>
                  <w:divsChild>
                    <w:div w:id="332681101">
                      <w:marLeft w:val="0"/>
                      <w:marRight w:val="0"/>
                      <w:marTop w:val="0"/>
                      <w:marBottom w:val="0"/>
                      <w:divBdr>
                        <w:top w:val="none" w:sz="0" w:space="0" w:color="auto"/>
                        <w:left w:val="none" w:sz="0" w:space="0" w:color="auto"/>
                        <w:bottom w:val="none" w:sz="0" w:space="0" w:color="auto"/>
                        <w:right w:val="none" w:sz="0" w:space="0" w:color="auto"/>
                      </w:divBdr>
                    </w:div>
                  </w:divsChild>
                </w:div>
                <w:div w:id="1697923343">
                  <w:marLeft w:val="0"/>
                  <w:marRight w:val="0"/>
                  <w:marTop w:val="0"/>
                  <w:marBottom w:val="0"/>
                  <w:divBdr>
                    <w:top w:val="none" w:sz="0" w:space="0" w:color="auto"/>
                    <w:left w:val="none" w:sz="0" w:space="0" w:color="auto"/>
                    <w:bottom w:val="none" w:sz="0" w:space="0" w:color="auto"/>
                    <w:right w:val="none" w:sz="0" w:space="0" w:color="auto"/>
                  </w:divBdr>
                  <w:divsChild>
                    <w:div w:id="885794211">
                      <w:marLeft w:val="0"/>
                      <w:marRight w:val="0"/>
                      <w:marTop w:val="0"/>
                      <w:marBottom w:val="0"/>
                      <w:divBdr>
                        <w:top w:val="none" w:sz="0" w:space="0" w:color="auto"/>
                        <w:left w:val="none" w:sz="0" w:space="0" w:color="auto"/>
                        <w:bottom w:val="none" w:sz="0" w:space="0" w:color="auto"/>
                        <w:right w:val="none" w:sz="0" w:space="0" w:color="auto"/>
                      </w:divBdr>
                    </w:div>
                  </w:divsChild>
                </w:div>
                <w:div w:id="1820338226">
                  <w:marLeft w:val="0"/>
                  <w:marRight w:val="0"/>
                  <w:marTop w:val="0"/>
                  <w:marBottom w:val="0"/>
                  <w:divBdr>
                    <w:top w:val="none" w:sz="0" w:space="0" w:color="auto"/>
                    <w:left w:val="none" w:sz="0" w:space="0" w:color="auto"/>
                    <w:bottom w:val="none" w:sz="0" w:space="0" w:color="auto"/>
                    <w:right w:val="none" w:sz="0" w:space="0" w:color="auto"/>
                  </w:divBdr>
                  <w:divsChild>
                    <w:div w:id="1654941863">
                      <w:marLeft w:val="0"/>
                      <w:marRight w:val="0"/>
                      <w:marTop w:val="0"/>
                      <w:marBottom w:val="0"/>
                      <w:divBdr>
                        <w:top w:val="none" w:sz="0" w:space="0" w:color="auto"/>
                        <w:left w:val="none" w:sz="0" w:space="0" w:color="auto"/>
                        <w:bottom w:val="none" w:sz="0" w:space="0" w:color="auto"/>
                        <w:right w:val="none" w:sz="0" w:space="0" w:color="auto"/>
                      </w:divBdr>
                    </w:div>
                  </w:divsChild>
                </w:div>
                <w:div w:id="1864245279">
                  <w:marLeft w:val="0"/>
                  <w:marRight w:val="0"/>
                  <w:marTop w:val="0"/>
                  <w:marBottom w:val="0"/>
                  <w:divBdr>
                    <w:top w:val="none" w:sz="0" w:space="0" w:color="auto"/>
                    <w:left w:val="none" w:sz="0" w:space="0" w:color="auto"/>
                    <w:bottom w:val="none" w:sz="0" w:space="0" w:color="auto"/>
                    <w:right w:val="none" w:sz="0" w:space="0" w:color="auto"/>
                  </w:divBdr>
                  <w:divsChild>
                    <w:div w:id="1999117400">
                      <w:marLeft w:val="0"/>
                      <w:marRight w:val="0"/>
                      <w:marTop w:val="0"/>
                      <w:marBottom w:val="0"/>
                      <w:divBdr>
                        <w:top w:val="none" w:sz="0" w:space="0" w:color="auto"/>
                        <w:left w:val="none" w:sz="0" w:space="0" w:color="auto"/>
                        <w:bottom w:val="none" w:sz="0" w:space="0" w:color="auto"/>
                        <w:right w:val="none" w:sz="0" w:space="0" w:color="auto"/>
                      </w:divBdr>
                    </w:div>
                  </w:divsChild>
                </w:div>
                <w:div w:id="1865552662">
                  <w:marLeft w:val="0"/>
                  <w:marRight w:val="0"/>
                  <w:marTop w:val="0"/>
                  <w:marBottom w:val="0"/>
                  <w:divBdr>
                    <w:top w:val="none" w:sz="0" w:space="0" w:color="auto"/>
                    <w:left w:val="none" w:sz="0" w:space="0" w:color="auto"/>
                    <w:bottom w:val="none" w:sz="0" w:space="0" w:color="auto"/>
                    <w:right w:val="none" w:sz="0" w:space="0" w:color="auto"/>
                  </w:divBdr>
                  <w:divsChild>
                    <w:div w:id="2031492077">
                      <w:marLeft w:val="0"/>
                      <w:marRight w:val="0"/>
                      <w:marTop w:val="0"/>
                      <w:marBottom w:val="0"/>
                      <w:divBdr>
                        <w:top w:val="none" w:sz="0" w:space="0" w:color="auto"/>
                        <w:left w:val="none" w:sz="0" w:space="0" w:color="auto"/>
                        <w:bottom w:val="none" w:sz="0" w:space="0" w:color="auto"/>
                        <w:right w:val="none" w:sz="0" w:space="0" w:color="auto"/>
                      </w:divBdr>
                    </w:div>
                  </w:divsChild>
                </w:div>
                <w:div w:id="1950813646">
                  <w:marLeft w:val="0"/>
                  <w:marRight w:val="0"/>
                  <w:marTop w:val="0"/>
                  <w:marBottom w:val="0"/>
                  <w:divBdr>
                    <w:top w:val="none" w:sz="0" w:space="0" w:color="auto"/>
                    <w:left w:val="none" w:sz="0" w:space="0" w:color="auto"/>
                    <w:bottom w:val="none" w:sz="0" w:space="0" w:color="auto"/>
                    <w:right w:val="none" w:sz="0" w:space="0" w:color="auto"/>
                  </w:divBdr>
                  <w:divsChild>
                    <w:div w:id="390152349">
                      <w:marLeft w:val="0"/>
                      <w:marRight w:val="0"/>
                      <w:marTop w:val="0"/>
                      <w:marBottom w:val="0"/>
                      <w:divBdr>
                        <w:top w:val="none" w:sz="0" w:space="0" w:color="auto"/>
                        <w:left w:val="none" w:sz="0" w:space="0" w:color="auto"/>
                        <w:bottom w:val="none" w:sz="0" w:space="0" w:color="auto"/>
                        <w:right w:val="none" w:sz="0" w:space="0" w:color="auto"/>
                      </w:divBdr>
                    </w:div>
                  </w:divsChild>
                </w:div>
                <w:div w:id="2040161519">
                  <w:marLeft w:val="0"/>
                  <w:marRight w:val="0"/>
                  <w:marTop w:val="0"/>
                  <w:marBottom w:val="0"/>
                  <w:divBdr>
                    <w:top w:val="none" w:sz="0" w:space="0" w:color="auto"/>
                    <w:left w:val="none" w:sz="0" w:space="0" w:color="auto"/>
                    <w:bottom w:val="none" w:sz="0" w:space="0" w:color="auto"/>
                    <w:right w:val="none" w:sz="0" w:space="0" w:color="auto"/>
                  </w:divBdr>
                  <w:divsChild>
                    <w:div w:id="2021739598">
                      <w:marLeft w:val="0"/>
                      <w:marRight w:val="0"/>
                      <w:marTop w:val="0"/>
                      <w:marBottom w:val="0"/>
                      <w:divBdr>
                        <w:top w:val="none" w:sz="0" w:space="0" w:color="auto"/>
                        <w:left w:val="none" w:sz="0" w:space="0" w:color="auto"/>
                        <w:bottom w:val="none" w:sz="0" w:space="0" w:color="auto"/>
                        <w:right w:val="none" w:sz="0" w:space="0" w:color="auto"/>
                      </w:divBdr>
                    </w:div>
                  </w:divsChild>
                </w:div>
                <w:div w:id="2056811823">
                  <w:marLeft w:val="0"/>
                  <w:marRight w:val="0"/>
                  <w:marTop w:val="0"/>
                  <w:marBottom w:val="0"/>
                  <w:divBdr>
                    <w:top w:val="none" w:sz="0" w:space="0" w:color="auto"/>
                    <w:left w:val="none" w:sz="0" w:space="0" w:color="auto"/>
                    <w:bottom w:val="none" w:sz="0" w:space="0" w:color="auto"/>
                    <w:right w:val="none" w:sz="0" w:space="0" w:color="auto"/>
                  </w:divBdr>
                  <w:divsChild>
                    <w:div w:id="114639833">
                      <w:marLeft w:val="0"/>
                      <w:marRight w:val="0"/>
                      <w:marTop w:val="0"/>
                      <w:marBottom w:val="0"/>
                      <w:divBdr>
                        <w:top w:val="none" w:sz="0" w:space="0" w:color="auto"/>
                        <w:left w:val="none" w:sz="0" w:space="0" w:color="auto"/>
                        <w:bottom w:val="none" w:sz="0" w:space="0" w:color="auto"/>
                        <w:right w:val="none" w:sz="0" w:space="0" w:color="auto"/>
                      </w:divBdr>
                    </w:div>
                  </w:divsChild>
                </w:div>
                <w:div w:id="2067029512">
                  <w:marLeft w:val="0"/>
                  <w:marRight w:val="0"/>
                  <w:marTop w:val="0"/>
                  <w:marBottom w:val="0"/>
                  <w:divBdr>
                    <w:top w:val="none" w:sz="0" w:space="0" w:color="auto"/>
                    <w:left w:val="none" w:sz="0" w:space="0" w:color="auto"/>
                    <w:bottom w:val="none" w:sz="0" w:space="0" w:color="auto"/>
                    <w:right w:val="none" w:sz="0" w:space="0" w:color="auto"/>
                  </w:divBdr>
                  <w:divsChild>
                    <w:div w:id="161243573">
                      <w:marLeft w:val="0"/>
                      <w:marRight w:val="0"/>
                      <w:marTop w:val="0"/>
                      <w:marBottom w:val="0"/>
                      <w:divBdr>
                        <w:top w:val="none" w:sz="0" w:space="0" w:color="auto"/>
                        <w:left w:val="none" w:sz="0" w:space="0" w:color="auto"/>
                        <w:bottom w:val="none" w:sz="0" w:space="0" w:color="auto"/>
                        <w:right w:val="none" w:sz="0" w:space="0" w:color="auto"/>
                      </w:divBdr>
                    </w:div>
                  </w:divsChild>
                </w:div>
                <w:div w:id="2086107594">
                  <w:marLeft w:val="0"/>
                  <w:marRight w:val="0"/>
                  <w:marTop w:val="0"/>
                  <w:marBottom w:val="0"/>
                  <w:divBdr>
                    <w:top w:val="none" w:sz="0" w:space="0" w:color="auto"/>
                    <w:left w:val="none" w:sz="0" w:space="0" w:color="auto"/>
                    <w:bottom w:val="none" w:sz="0" w:space="0" w:color="auto"/>
                    <w:right w:val="none" w:sz="0" w:space="0" w:color="auto"/>
                  </w:divBdr>
                  <w:divsChild>
                    <w:div w:id="991254103">
                      <w:marLeft w:val="0"/>
                      <w:marRight w:val="0"/>
                      <w:marTop w:val="0"/>
                      <w:marBottom w:val="0"/>
                      <w:divBdr>
                        <w:top w:val="none" w:sz="0" w:space="0" w:color="auto"/>
                        <w:left w:val="none" w:sz="0" w:space="0" w:color="auto"/>
                        <w:bottom w:val="none" w:sz="0" w:space="0" w:color="auto"/>
                        <w:right w:val="none" w:sz="0" w:space="0" w:color="auto"/>
                      </w:divBdr>
                    </w:div>
                  </w:divsChild>
                </w:div>
                <w:div w:id="2131052737">
                  <w:marLeft w:val="0"/>
                  <w:marRight w:val="0"/>
                  <w:marTop w:val="0"/>
                  <w:marBottom w:val="0"/>
                  <w:divBdr>
                    <w:top w:val="none" w:sz="0" w:space="0" w:color="auto"/>
                    <w:left w:val="none" w:sz="0" w:space="0" w:color="auto"/>
                    <w:bottom w:val="none" w:sz="0" w:space="0" w:color="auto"/>
                    <w:right w:val="none" w:sz="0" w:space="0" w:color="auto"/>
                  </w:divBdr>
                  <w:divsChild>
                    <w:div w:id="129351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008561">
          <w:marLeft w:val="0"/>
          <w:marRight w:val="0"/>
          <w:marTop w:val="0"/>
          <w:marBottom w:val="0"/>
          <w:divBdr>
            <w:top w:val="none" w:sz="0" w:space="0" w:color="auto"/>
            <w:left w:val="none" w:sz="0" w:space="0" w:color="auto"/>
            <w:bottom w:val="none" w:sz="0" w:space="0" w:color="auto"/>
            <w:right w:val="none" w:sz="0" w:space="0" w:color="auto"/>
          </w:divBdr>
        </w:div>
      </w:divsChild>
    </w:div>
    <w:div w:id="1060251878">
      <w:bodyDiv w:val="1"/>
      <w:marLeft w:val="0"/>
      <w:marRight w:val="0"/>
      <w:marTop w:val="0"/>
      <w:marBottom w:val="0"/>
      <w:divBdr>
        <w:top w:val="none" w:sz="0" w:space="0" w:color="auto"/>
        <w:left w:val="none" w:sz="0" w:space="0" w:color="auto"/>
        <w:bottom w:val="none" w:sz="0" w:space="0" w:color="auto"/>
        <w:right w:val="none" w:sz="0" w:space="0" w:color="auto"/>
      </w:divBdr>
    </w:div>
    <w:div w:id="1127967796">
      <w:bodyDiv w:val="1"/>
      <w:marLeft w:val="0"/>
      <w:marRight w:val="0"/>
      <w:marTop w:val="0"/>
      <w:marBottom w:val="0"/>
      <w:divBdr>
        <w:top w:val="none" w:sz="0" w:space="0" w:color="auto"/>
        <w:left w:val="none" w:sz="0" w:space="0" w:color="auto"/>
        <w:bottom w:val="none" w:sz="0" w:space="0" w:color="auto"/>
        <w:right w:val="none" w:sz="0" w:space="0" w:color="auto"/>
      </w:divBdr>
    </w:div>
    <w:div w:id="1163203882">
      <w:bodyDiv w:val="1"/>
      <w:marLeft w:val="0"/>
      <w:marRight w:val="0"/>
      <w:marTop w:val="0"/>
      <w:marBottom w:val="0"/>
      <w:divBdr>
        <w:top w:val="none" w:sz="0" w:space="0" w:color="auto"/>
        <w:left w:val="none" w:sz="0" w:space="0" w:color="auto"/>
        <w:bottom w:val="none" w:sz="0" w:space="0" w:color="auto"/>
        <w:right w:val="none" w:sz="0" w:space="0" w:color="auto"/>
      </w:divBdr>
    </w:div>
    <w:div w:id="1196039192">
      <w:bodyDiv w:val="1"/>
      <w:marLeft w:val="0"/>
      <w:marRight w:val="0"/>
      <w:marTop w:val="0"/>
      <w:marBottom w:val="0"/>
      <w:divBdr>
        <w:top w:val="none" w:sz="0" w:space="0" w:color="auto"/>
        <w:left w:val="none" w:sz="0" w:space="0" w:color="auto"/>
        <w:bottom w:val="none" w:sz="0" w:space="0" w:color="auto"/>
        <w:right w:val="none" w:sz="0" w:space="0" w:color="auto"/>
      </w:divBdr>
    </w:div>
    <w:div w:id="1286040401">
      <w:bodyDiv w:val="1"/>
      <w:marLeft w:val="0"/>
      <w:marRight w:val="0"/>
      <w:marTop w:val="0"/>
      <w:marBottom w:val="0"/>
      <w:divBdr>
        <w:top w:val="none" w:sz="0" w:space="0" w:color="auto"/>
        <w:left w:val="none" w:sz="0" w:space="0" w:color="auto"/>
        <w:bottom w:val="none" w:sz="0" w:space="0" w:color="auto"/>
        <w:right w:val="none" w:sz="0" w:space="0" w:color="auto"/>
      </w:divBdr>
    </w:div>
    <w:div w:id="1305507097">
      <w:bodyDiv w:val="1"/>
      <w:marLeft w:val="0"/>
      <w:marRight w:val="0"/>
      <w:marTop w:val="0"/>
      <w:marBottom w:val="0"/>
      <w:divBdr>
        <w:top w:val="none" w:sz="0" w:space="0" w:color="auto"/>
        <w:left w:val="none" w:sz="0" w:space="0" w:color="auto"/>
        <w:bottom w:val="none" w:sz="0" w:space="0" w:color="auto"/>
        <w:right w:val="none" w:sz="0" w:space="0" w:color="auto"/>
      </w:divBdr>
    </w:div>
    <w:div w:id="1376781991">
      <w:bodyDiv w:val="1"/>
      <w:marLeft w:val="0"/>
      <w:marRight w:val="0"/>
      <w:marTop w:val="0"/>
      <w:marBottom w:val="0"/>
      <w:divBdr>
        <w:top w:val="none" w:sz="0" w:space="0" w:color="auto"/>
        <w:left w:val="none" w:sz="0" w:space="0" w:color="auto"/>
        <w:bottom w:val="none" w:sz="0" w:space="0" w:color="auto"/>
        <w:right w:val="none" w:sz="0" w:space="0" w:color="auto"/>
      </w:divBdr>
    </w:div>
    <w:div w:id="1421877099">
      <w:bodyDiv w:val="1"/>
      <w:marLeft w:val="0"/>
      <w:marRight w:val="0"/>
      <w:marTop w:val="0"/>
      <w:marBottom w:val="0"/>
      <w:divBdr>
        <w:top w:val="none" w:sz="0" w:space="0" w:color="auto"/>
        <w:left w:val="none" w:sz="0" w:space="0" w:color="auto"/>
        <w:bottom w:val="none" w:sz="0" w:space="0" w:color="auto"/>
        <w:right w:val="none" w:sz="0" w:space="0" w:color="auto"/>
      </w:divBdr>
    </w:div>
    <w:div w:id="1430194268">
      <w:bodyDiv w:val="1"/>
      <w:marLeft w:val="0"/>
      <w:marRight w:val="0"/>
      <w:marTop w:val="0"/>
      <w:marBottom w:val="0"/>
      <w:divBdr>
        <w:top w:val="none" w:sz="0" w:space="0" w:color="auto"/>
        <w:left w:val="none" w:sz="0" w:space="0" w:color="auto"/>
        <w:bottom w:val="none" w:sz="0" w:space="0" w:color="auto"/>
        <w:right w:val="none" w:sz="0" w:space="0" w:color="auto"/>
      </w:divBdr>
    </w:div>
    <w:div w:id="1550722364">
      <w:bodyDiv w:val="1"/>
      <w:marLeft w:val="0"/>
      <w:marRight w:val="0"/>
      <w:marTop w:val="0"/>
      <w:marBottom w:val="0"/>
      <w:divBdr>
        <w:top w:val="none" w:sz="0" w:space="0" w:color="auto"/>
        <w:left w:val="none" w:sz="0" w:space="0" w:color="auto"/>
        <w:bottom w:val="none" w:sz="0" w:space="0" w:color="auto"/>
        <w:right w:val="none" w:sz="0" w:space="0" w:color="auto"/>
      </w:divBdr>
    </w:div>
    <w:div w:id="1735275457">
      <w:bodyDiv w:val="1"/>
      <w:marLeft w:val="0"/>
      <w:marRight w:val="0"/>
      <w:marTop w:val="0"/>
      <w:marBottom w:val="0"/>
      <w:divBdr>
        <w:top w:val="none" w:sz="0" w:space="0" w:color="auto"/>
        <w:left w:val="none" w:sz="0" w:space="0" w:color="auto"/>
        <w:bottom w:val="none" w:sz="0" w:space="0" w:color="auto"/>
        <w:right w:val="none" w:sz="0" w:space="0" w:color="auto"/>
      </w:divBdr>
      <w:divsChild>
        <w:div w:id="111945997">
          <w:marLeft w:val="0"/>
          <w:marRight w:val="0"/>
          <w:marTop w:val="0"/>
          <w:marBottom w:val="0"/>
          <w:divBdr>
            <w:top w:val="none" w:sz="0" w:space="0" w:color="auto"/>
            <w:left w:val="none" w:sz="0" w:space="0" w:color="auto"/>
            <w:bottom w:val="none" w:sz="0" w:space="0" w:color="auto"/>
            <w:right w:val="none" w:sz="0" w:space="0" w:color="auto"/>
          </w:divBdr>
        </w:div>
        <w:div w:id="135338142">
          <w:marLeft w:val="0"/>
          <w:marRight w:val="0"/>
          <w:marTop w:val="0"/>
          <w:marBottom w:val="0"/>
          <w:divBdr>
            <w:top w:val="none" w:sz="0" w:space="0" w:color="auto"/>
            <w:left w:val="none" w:sz="0" w:space="0" w:color="auto"/>
            <w:bottom w:val="none" w:sz="0" w:space="0" w:color="auto"/>
            <w:right w:val="none" w:sz="0" w:space="0" w:color="auto"/>
          </w:divBdr>
          <w:divsChild>
            <w:div w:id="1811558237">
              <w:marLeft w:val="-75"/>
              <w:marRight w:val="0"/>
              <w:marTop w:val="30"/>
              <w:marBottom w:val="30"/>
              <w:divBdr>
                <w:top w:val="none" w:sz="0" w:space="0" w:color="auto"/>
                <w:left w:val="none" w:sz="0" w:space="0" w:color="auto"/>
                <w:bottom w:val="none" w:sz="0" w:space="0" w:color="auto"/>
                <w:right w:val="none" w:sz="0" w:space="0" w:color="auto"/>
              </w:divBdr>
              <w:divsChild>
                <w:div w:id="33890823">
                  <w:marLeft w:val="0"/>
                  <w:marRight w:val="0"/>
                  <w:marTop w:val="0"/>
                  <w:marBottom w:val="0"/>
                  <w:divBdr>
                    <w:top w:val="none" w:sz="0" w:space="0" w:color="auto"/>
                    <w:left w:val="none" w:sz="0" w:space="0" w:color="auto"/>
                    <w:bottom w:val="none" w:sz="0" w:space="0" w:color="auto"/>
                    <w:right w:val="none" w:sz="0" w:space="0" w:color="auto"/>
                  </w:divBdr>
                  <w:divsChild>
                    <w:div w:id="2098363901">
                      <w:marLeft w:val="0"/>
                      <w:marRight w:val="0"/>
                      <w:marTop w:val="0"/>
                      <w:marBottom w:val="0"/>
                      <w:divBdr>
                        <w:top w:val="none" w:sz="0" w:space="0" w:color="auto"/>
                        <w:left w:val="none" w:sz="0" w:space="0" w:color="auto"/>
                        <w:bottom w:val="none" w:sz="0" w:space="0" w:color="auto"/>
                        <w:right w:val="none" w:sz="0" w:space="0" w:color="auto"/>
                      </w:divBdr>
                    </w:div>
                  </w:divsChild>
                </w:div>
                <w:div w:id="73862323">
                  <w:marLeft w:val="0"/>
                  <w:marRight w:val="0"/>
                  <w:marTop w:val="0"/>
                  <w:marBottom w:val="0"/>
                  <w:divBdr>
                    <w:top w:val="none" w:sz="0" w:space="0" w:color="auto"/>
                    <w:left w:val="none" w:sz="0" w:space="0" w:color="auto"/>
                    <w:bottom w:val="none" w:sz="0" w:space="0" w:color="auto"/>
                    <w:right w:val="none" w:sz="0" w:space="0" w:color="auto"/>
                  </w:divBdr>
                  <w:divsChild>
                    <w:div w:id="1184587993">
                      <w:marLeft w:val="0"/>
                      <w:marRight w:val="0"/>
                      <w:marTop w:val="0"/>
                      <w:marBottom w:val="0"/>
                      <w:divBdr>
                        <w:top w:val="none" w:sz="0" w:space="0" w:color="auto"/>
                        <w:left w:val="none" w:sz="0" w:space="0" w:color="auto"/>
                        <w:bottom w:val="none" w:sz="0" w:space="0" w:color="auto"/>
                        <w:right w:val="none" w:sz="0" w:space="0" w:color="auto"/>
                      </w:divBdr>
                    </w:div>
                  </w:divsChild>
                </w:div>
                <w:div w:id="125391974">
                  <w:marLeft w:val="0"/>
                  <w:marRight w:val="0"/>
                  <w:marTop w:val="0"/>
                  <w:marBottom w:val="0"/>
                  <w:divBdr>
                    <w:top w:val="none" w:sz="0" w:space="0" w:color="auto"/>
                    <w:left w:val="none" w:sz="0" w:space="0" w:color="auto"/>
                    <w:bottom w:val="none" w:sz="0" w:space="0" w:color="auto"/>
                    <w:right w:val="none" w:sz="0" w:space="0" w:color="auto"/>
                  </w:divBdr>
                  <w:divsChild>
                    <w:div w:id="1452436554">
                      <w:marLeft w:val="0"/>
                      <w:marRight w:val="0"/>
                      <w:marTop w:val="0"/>
                      <w:marBottom w:val="0"/>
                      <w:divBdr>
                        <w:top w:val="none" w:sz="0" w:space="0" w:color="auto"/>
                        <w:left w:val="none" w:sz="0" w:space="0" w:color="auto"/>
                        <w:bottom w:val="none" w:sz="0" w:space="0" w:color="auto"/>
                        <w:right w:val="none" w:sz="0" w:space="0" w:color="auto"/>
                      </w:divBdr>
                    </w:div>
                  </w:divsChild>
                </w:div>
                <w:div w:id="222378147">
                  <w:marLeft w:val="0"/>
                  <w:marRight w:val="0"/>
                  <w:marTop w:val="0"/>
                  <w:marBottom w:val="0"/>
                  <w:divBdr>
                    <w:top w:val="none" w:sz="0" w:space="0" w:color="auto"/>
                    <w:left w:val="none" w:sz="0" w:space="0" w:color="auto"/>
                    <w:bottom w:val="none" w:sz="0" w:space="0" w:color="auto"/>
                    <w:right w:val="none" w:sz="0" w:space="0" w:color="auto"/>
                  </w:divBdr>
                  <w:divsChild>
                    <w:div w:id="1181774896">
                      <w:marLeft w:val="0"/>
                      <w:marRight w:val="0"/>
                      <w:marTop w:val="0"/>
                      <w:marBottom w:val="0"/>
                      <w:divBdr>
                        <w:top w:val="none" w:sz="0" w:space="0" w:color="auto"/>
                        <w:left w:val="none" w:sz="0" w:space="0" w:color="auto"/>
                        <w:bottom w:val="none" w:sz="0" w:space="0" w:color="auto"/>
                        <w:right w:val="none" w:sz="0" w:space="0" w:color="auto"/>
                      </w:divBdr>
                    </w:div>
                  </w:divsChild>
                </w:div>
                <w:div w:id="305360120">
                  <w:marLeft w:val="0"/>
                  <w:marRight w:val="0"/>
                  <w:marTop w:val="0"/>
                  <w:marBottom w:val="0"/>
                  <w:divBdr>
                    <w:top w:val="none" w:sz="0" w:space="0" w:color="auto"/>
                    <w:left w:val="none" w:sz="0" w:space="0" w:color="auto"/>
                    <w:bottom w:val="none" w:sz="0" w:space="0" w:color="auto"/>
                    <w:right w:val="none" w:sz="0" w:space="0" w:color="auto"/>
                  </w:divBdr>
                  <w:divsChild>
                    <w:div w:id="1217085792">
                      <w:marLeft w:val="0"/>
                      <w:marRight w:val="0"/>
                      <w:marTop w:val="0"/>
                      <w:marBottom w:val="0"/>
                      <w:divBdr>
                        <w:top w:val="none" w:sz="0" w:space="0" w:color="auto"/>
                        <w:left w:val="none" w:sz="0" w:space="0" w:color="auto"/>
                        <w:bottom w:val="none" w:sz="0" w:space="0" w:color="auto"/>
                        <w:right w:val="none" w:sz="0" w:space="0" w:color="auto"/>
                      </w:divBdr>
                    </w:div>
                  </w:divsChild>
                </w:div>
                <w:div w:id="340547400">
                  <w:marLeft w:val="0"/>
                  <w:marRight w:val="0"/>
                  <w:marTop w:val="0"/>
                  <w:marBottom w:val="0"/>
                  <w:divBdr>
                    <w:top w:val="none" w:sz="0" w:space="0" w:color="auto"/>
                    <w:left w:val="none" w:sz="0" w:space="0" w:color="auto"/>
                    <w:bottom w:val="none" w:sz="0" w:space="0" w:color="auto"/>
                    <w:right w:val="none" w:sz="0" w:space="0" w:color="auto"/>
                  </w:divBdr>
                  <w:divsChild>
                    <w:div w:id="97217290">
                      <w:marLeft w:val="0"/>
                      <w:marRight w:val="0"/>
                      <w:marTop w:val="0"/>
                      <w:marBottom w:val="0"/>
                      <w:divBdr>
                        <w:top w:val="none" w:sz="0" w:space="0" w:color="auto"/>
                        <w:left w:val="none" w:sz="0" w:space="0" w:color="auto"/>
                        <w:bottom w:val="none" w:sz="0" w:space="0" w:color="auto"/>
                        <w:right w:val="none" w:sz="0" w:space="0" w:color="auto"/>
                      </w:divBdr>
                    </w:div>
                  </w:divsChild>
                </w:div>
                <w:div w:id="343022101">
                  <w:marLeft w:val="0"/>
                  <w:marRight w:val="0"/>
                  <w:marTop w:val="0"/>
                  <w:marBottom w:val="0"/>
                  <w:divBdr>
                    <w:top w:val="none" w:sz="0" w:space="0" w:color="auto"/>
                    <w:left w:val="none" w:sz="0" w:space="0" w:color="auto"/>
                    <w:bottom w:val="none" w:sz="0" w:space="0" w:color="auto"/>
                    <w:right w:val="none" w:sz="0" w:space="0" w:color="auto"/>
                  </w:divBdr>
                  <w:divsChild>
                    <w:div w:id="936014096">
                      <w:marLeft w:val="0"/>
                      <w:marRight w:val="0"/>
                      <w:marTop w:val="0"/>
                      <w:marBottom w:val="0"/>
                      <w:divBdr>
                        <w:top w:val="none" w:sz="0" w:space="0" w:color="auto"/>
                        <w:left w:val="none" w:sz="0" w:space="0" w:color="auto"/>
                        <w:bottom w:val="none" w:sz="0" w:space="0" w:color="auto"/>
                        <w:right w:val="none" w:sz="0" w:space="0" w:color="auto"/>
                      </w:divBdr>
                    </w:div>
                  </w:divsChild>
                </w:div>
                <w:div w:id="390425493">
                  <w:marLeft w:val="0"/>
                  <w:marRight w:val="0"/>
                  <w:marTop w:val="0"/>
                  <w:marBottom w:val="0"/>
                  <w:divBdr>
                    <w:top w:val="none" w:sz="0" w:space="0" w:color="auto"/>
                    <w:left w:val="none" w:sz="0" w:space="0" w:color="auto"/>
                    <w:bottom w:val="none" w:sz="0" w:space="0" w:color="auto"/>
                    <w:right w:val="none" w:sz="0" w:space="0" w:color="auto"/>
                  </w:divBdr>
                  <w:divsChild>
                    <w:div w:id="685445178">
                      <w:marLeft w:val="0"/>
                      <w:marRight w:val="0"/>
                      <w:marTop w:val="0"/>
                      <w:marBottom w:val="0"/>
                      <w:divBdr>
                        <w:top w:val="none" w:sz="0" w:space="0" w:color="auto"/>
                        <w:left w:val="none" w:sz="0" w:space="0" w:color="auto"/>
                        <w:bottom w:val="none" w:sz="0" w:space="0" w:color="auto"/>
                        <w:right w:val="none" w:sz="0" w:space="0" w:color="auto"/>
                      </w:divBdr>
                    </w:div>
                  </w:divsChild>
                </w:div>
                <w:div w:id="414327944">
                  <w:marLeft w:val="0"/>
                  <w:marRight w:val="0"/>
                  <w:marTop w:val="0"/>
                  <w:marBottom w:val="0"/>
                  <w:divBdr>
                    <w:top w:val="none" w:sz="0" w:space="0" w:color="auto"/>
                    <w:left w:val="none" w:sz="0" w:space="0" w:color="auto"/>
                    <w:bottom w:val="none" w:sz="0" w:space="0" w:color="auto"/>
                    <w:right w:val="none" w:sz="0" w:space="0" w:color="auto"/>
                  </w:divBdr>
                  <w:divsChild>
                    <w:div w:id="2140680997">
                      <w:marLeft w:val="0"/>
                      <w:marRight w:val="0"/>
                      <w:marTop w:val="0"/>
                      <w:marBottom w:val="0"/>
                      <w:divBdr>
                        <w:top w:val="none" w:sz="0" w:space="0" w:color="auto"/>
                        <w:left w:val="none" w:sz="0" w:space="0" w:color="auto"/>
                        <w:bottom w:val="none" w:sz="0" w:space="0" w:color="auto"/>
                        <w:right w:val="none" w:sz="0" w:space="0" w:color="auto"/>
                      </w:divBdr>
                    </w:div>
                  </w:divsChild>
                </w:div>
                <w:div w:id="425853584">
                  <w:marLeft w:val="0"/>
                  <w:marRight w:val="0"/>
                  <w:marTop w:val="0"/>
                  <w:marBottom w:val="0"/>
                  <w:divBdr>
                    <w:top w:val="none" w:sz="0" w:space="0" w:color="auto"/>
                    <w:left w:val="none" w:sz="0" w:space="0" w:color="auto"/>
                    <w:bottom w:val="none" w:sz="0" w:space="0" w:color="auto"/>
                    <w:right w:val="none" w:sz="0" w:space="0" w:color="auto"/>
                  </w:divBdr>
                  <w:divsChild>
                    <w:div w:id="2115249145">
                      <w:marLeft w:val="0"/>
                      <w:marRight w:val="0"/>
                      <w:marTop w:val="0"/>
                      <w:marBottom w:val="0"/>
                      <w:divBdr>
                        <w:top w:val="none" w:sz="0" w:space="0" w:color="auto"/>
                        <w:left w:val="none" w:sz="0" w:space="0" w:color="auto"/>
                        <w:bottom w:val="none" w:sz="0" w:space="0" w:color="auto"/>
                        <w:right w:val="none" w:sz="0" w:space="0" w:color="auto"/>
                      </w:divBdr>
                    </w:div>
                  </w:divsChild>
                </w:div>
                <w:div w:id="517619019">
                  <w:marLeft w:val="0"/>
                  <w:marRight w:val="0"/>
                  <w:marTop w:val="0"/>
                  <w:marBottom w:val="0"/>
                  <w:divBdr>
                    <w:top w:val="none" w:sz="0" w:space="0" w:color="auto"/>
                    <w:left w:val="none" w:sz="0" w:space="0" w:color="auto"/>
                    <w:bottom w:val="none" w:sz="0" w:space="0" w:color="auto"/>
                    <w:right w:val="none" w:sz="0" w:space="0" w:color="auto"/>
                  </w:divBdr>
                  <w:divsChild>
                    <w:div w:id="1005013798">
                      <w:marLeft w:val="0"/>
                      <w:marRight w:val="0"/>
                      <w:marTop w:val="0"/>
                      <w:marBottom w:val="0"/>
                      <w:divBdr>
                        <w:top w:val="none" w:sz="0" w:space="0" w:color="auto"/>
                        <w:left w:val="none" w:sz="0" w:space="0" w:color="auto"/>
                        <w:bottom w:val="none" w:sz="0" w:space="0" w:color="auto"/>
                        <w:right w:val="none" w:sz="0" w:space="0" w:color="auto"/>
                      </w:divBdr>
                    </w:div>
                  </w:divsChild>
                </w:div>
                <w:div w:id="557591000">
                  <w:marLeft w:val="0"/>
                  <w:marRight w:val="0"/>
                  <w:marTop w:val="0"/>
                  <w:marBottom w:val="0"/>
                  <w:divBdr>
                    <w:top w:val="none" w:sz="0" w:space="0" w:color="auto"/>
                    <w:left w:val="none" w:sz="0" w:space="0" w:color="auto"/>
                    <w:bottom w:val="none" w:sz="0" w:space="0" w:color="auto"/>
                    <w:right w:val="none" w:sz="0" w:space="0" w:color="auto"/>
                  </w:divBdr>
                  <w:divsChild>
                    <w:div w:id="566962847">
                      <w:marLeft w:val="0"/>
                      <w:marRight w:val="0"/>
                      <w:marTop w:val="0"/>
                      <w:marBottom w:val="0"/>
                      <w:divBdr>
                        <w:top w:val="none" w:sz="0" w:space="0" w:color="auto"/>
                        <w:left w:val="none" w:sz="0" w:space="0" w:color="auto"/>
                        <w:bottom w:val="none" w:sz="0" w:space="0" w:color="auto"/>
                        <w:right w:val="none" w:sz="0" w:space="0" w:color="auto"/>
                      </w:divBdr>
                    </w:div>
                  </w:divsChild>
                </w:div>
                <w:div w:id="560292038">
                  <w:marLeft w:val="0"/>
                  <w:marRight w:val="0"/>
                  <w:marTop w:val="0"/>
                  <w:marBottom w:val="0"/>
                  <w:divBdr>
                    <w:top w:val="none" w:sz="0" w:space="0" w:color="auto"/>
                    <w:left w:val="none" w:sz="0" w:space="0" w:color="auto"/>
                    <w:bottom w:val="none" w:sz="0" w:space="0" w:color="auto"/>
                    <w:right w:val="none" w:sz="0" w:space="0" w:color="auto"/>
                  </w:divBdr>
                  <w:divsChild>
                    <w:div w:id="237441016">
                      <w:marLeft w:val="0"/>
                      <w:marRight w:val="0"/>
                      <w:marTop w:val="0"/>
                      <w:marBottom w:val="0"/>
                      <w:divBdr>
                        <w:top w:val="none" w:sz="0" w:space="0" w:color="auto"/>
                        <w:left w:val="none" w:sz="0" w:space="0" w:color="auto"/>
                        <w:bottom w:val="none" w:sz="0" w:space="0" w:color="auto"/>
                        <w:right w:val="none" w:sz="0" w:space="0" w:color="auto"/>
                      </w:divBdr>
                    </w:div>
                  </w:divsChild>
                </w:div>
                <w:div w:id="612515039">
                  <w:marLeft w:val="0"/>
                  <w:marRight w:val="0"/>
                  <w:marTop w:val="0"/>
                  <w:marBottom w:val="0"/>
                  <w:divBdr>
                    <w:top w:val="none" w:sz="0" w:space="0" w:color="auto"/>
                    <w:left w:val="none" w:sz="0" w:space="0" w:color="auto"/>
                    <w:bottom w:val="none" w:sz="0" w:space="0" w:color="auto"/>
                    <w:right w:val="none" w:sz="0" w:space="0" w:color="auto"/>
                  </w:divBdr>
                  <w:divsChild>
                    <w:div w:id="84112433">
                      <w:marLeft w:val="0"/>
                      <w:marRight w:val="0"/>
                      <w:marTop w:val="0"/>
                      <w:marBottom w:val="0"/>
                      <w:divBdr>
                        <w:top w:val="none" w:sz="0" w:space="0" w:color="auto"/>
                        <w:left w:val="none" w:sz="0" w:space="0" w:color="auto"/>
                        <w:bottom w:val="none" w:sz="0" w:space="0" w:color="auto"/>
                        <w:right w:val="none" w:sz="0" w:space="0" w:color="auto"/>
                      </w:divBdr>
                    </w:div>
                  </w:divsChild>
                </w:div>
                <w:div w:id="651756631">
                  <w:marLeft w:val="0"/>
                  <w:marRight w:val="0"/>
                  <w:marTop w:val="0"/>
                  <w:marBottom w:val="0"/>
                  <w:divBdr>
                    <w:top w:val="none" w:sz="0" w:space="0" w:color="auto"/>
                    <w:left w:val="none" w:sz="0" w:space="0" w:color="auto"/>
                    <w:bottom w:val="none" w:sz="0" w:space="0" w:color="auto"/>
                    <w:right w:val="none" w:sz="0" w:space="0" w:color="auto"/>
                  </w:divBdr>
                  <w:divsChild>
                    <w:div w:id="1657221071">
                      <w:marLeft w:val="0"/>
                      <w:marRight w:val="0"/>
                      <w:marTop w:val="0"/>
                      <w:marBottom w:val="0"/>
                      <w:divBdr>
                        <w:top w:val="none" w:sz="0" w:space="0" w:color="auto"/>
                        <w:left w:val="none" w:sz="0" w:space="0" w:color="auto"/>
                        <w:bottom w:val="none" w:sz="0" w:space="0" w:color="auto"/>
                        <w:right w:val="none" w:sz="0" w:space="0" w:color="auto"/>
                      </w:divBdr>
                    </w:div>
                  </w:divsChild>
                </w:div>
                <w:div w:id="749082584">
                  <w:marLeft w:val="0"/>
                  <w:marRight w:val="0"/>
                  <w:marTop w:val="0"/>
                  <w:marBottom w:val="0"/>
                  <w:divBdr>
                    <w:top w:val="none" w:sz="0" w:space="0" w:color="auto"/>
                    <w:left w:val="none" w:sz="0" w:space="0" w:color="auto"/>
                    <w:bottom w:val="none" w:sz="0" w:space="0" w:color="auto"/>
                    <w:right w:val="none" w:sz="0" w:space="0" w:color="auto"/>
                  </w:divBdr>
                  <w:divsChild>
                    <w:div w:id="716010946">
                      <w:marLeft w:val="0"/>
                      <w:marRight w:val="0"/>
                      <w:marTop w:val="0"/>
                      <w:marBottom w:val="0"/>
                      <w:divBdr>
                        <w:top w:val="none" w:sz="0" w:space="0" w:color="auto"/>
                        <w:left w:val="none" w:sz="0" w:space="0" w:color="auto"/>
                        <w:bottom w:val="none" w:sz="0" w:space="0" w:color="auto"/>
                        <w:right w:val="none" w:sz="0" w:space="0" w:color="auto"/>
                      </w:divBdr>
                    </w:div>
                    <w:div w:id="1039939833">
                      <w:marLeft w:val="0"/>
                      <w:marRight w:val="0"/>
                      <w:marTop w:val="0"/>
                      <w:marBottom w:val="0"/>
                      <w:divBdr>
                        <w:top w:val="none" w:sz="0" w:space="0" w:color="auto"/>
                        <w:left w:val="none" w:sz="0" w:space="0" w:color="auto"/>
                        <w:bottom w:val="none" w:sz="0" w:space="0" w:color="auto"/>
                        <w:right w:val="none" w:sz="0" w:space="0" w:color="auto"/>
                      </w:divBdr>
                    </w:div>
                    <w:div w:id="1041436199">
                      <w:marLeft w:val="0"/>
                      <w:marRight w:val="0"/>
                      <w:marTop w:val="0"/>
                      <w:marBottom w:val="0"/>
                      <w:divBdr>
                        <w:top w:val="none" w:sz="0" w:space="0" w:color="auto"/>
                        <w:left w:val="none" w:sz="0" w:space="0" w:color="auto"/>
                        <w:bottom w:val="none" w:sz="0" w:space="0" w:color="auto"/>
                        <w:right w:val="none" w:sz="0" w:space="0" w:color="auto"/>
                      </w:divBdr>
                    </w:div>
                    <w:div w:id="1167674147">
                      <w:marLeft w:val="0"/>
                      <w:marRight w:val="0"/>
                      <w:marTop w:val="0"/>
                      <w:marBottom w:val="0"/>
                      <w:divBdr>
                        <w:top w:val="none" w:sz="0" w:space="0" w:color="auto"/>
                        <w:left w:val="none" w:sz="0" w:space="0" w:color="auto"/>
                        <w:bottom w:val="none" w:sz="0" w:space="0" w:color="auto"/>
                        <w:right w:val="none" w:sz="0" w:space="0" w:color="auto"/>
                      </w:divBdr>
                    </w:div>
                    <w:div w:id="1275551132">
                      <w:marLeft w:val="0"/>
                      <w:marRight w:val="0"/>
                      <w:marTop w:val="0"/>
                      <w:marBottom w:val="0"/>
                      <w:divBdr>
                        <w:top w:val="none" w:sz="0" w:space="0" w:color="auto"/>
                        <w:left w:val="none" w:sz="0" w:space="0" w:color="auto"/>
                        <w:bottom w:val="none" w:sz="0" w:space="0" w:color="auto"/>
                        <w:right w:val="none" w:sz="0" w:space="0" w:color="auto"/>
                      </w:divBdr>
                    </w:div>
                    <w:div w:id="1296449529">
                      <w:marLeft w:val="0"/>
                      <w:marRight w:val="0"/>
                      <w:marTop w:val="0"/>
                      <w:marBottom w:val="0"/>
                      <w:divBdr>
                        <w:top w:val="none" w:sz="0" w:space="0" w:color="auto"/>
                        <w:left w:val="none" w:sz="0" w:space="0" w:color="auto"/>
                        <w:bottom w:val="none" w:sz="0" w:space="0" w:color="auto"/>
                        <w:right w:val="none" w:sz="0" w:space="0" w:color="auto"/>
                      </w:divBdr>
                    </w:div>
                    <w:div w:id="1940794693">
                      <w:marLeft w:val="0"/>
                      <w:marRight w:val="0"/>
                      <w:marTop w:val="0"/>
                      <w:marBottom w:val="0"/>
                      <w:divBdr>
                        <w:top w:val="none" w:sz="0" w:space="0" w:color="auto"/>
                        <w:left w:val="none" w:sz="0" w:space="0" w:color="auto"/>
                        <w:bottom w:val="none" w:sz="0" w:space="0" w:color="auto"/>
                        <w:right w:val="none" w:sz="0" w:space="0" w:color="auto"/>
                      </w:divBdr>
                    </w:div>
                  </w:divsChild>
                </w:div>
                <w:div w:id="786048536">
                  <w:marLeft w:val="0"/>
                  <w:marRight w:val="0"/>
                  <w:marTop w:val="0"/>
                  <w:marBottom w:val="0"/>
                  <w:divBdr>
                    <w:top w:val="none" w:sz="0" w:space="0" w:color="auto"/>
                    <w:left w:val="none" w:sz="0" w:space="0" w:color="auto"/>
                    <w:bottom w:val="none" w:sz="0" w:space="0" w:color="auto"/>
                    <w:right w:val="none" w:sz="0" w:space="0" w:color="auto"/>
                  </w:divBdr>
                  <w:divsChild>
                    <w:div w:id="1084179095">
                      <w:marLeft w:val="0"/>
                      <w:marRight w:val="0"/>
                      <w:marTop w:val="0"/>
                      <w:marBottom w:val="0"/>
                      <w:divBdr>
                        <w:top w:val="none" w:sz="0" w:space="0" w:color="auto"/>
                        <w:left w:val="none" w:sz="0" w:space="0" w:color="auto"/>
                        <w:bottom w:val="none" w:sz="0" w:space="0" w:color="auto"/>
                        <w:right w:val="none" w:sz="0" w:space="0" w:color="auto"/>
                      </w:divBdr>
                    </w:div>
                  </w:divsChild>
                </w:div>
                <w:div w:id="821193493">
                  <w:marLeft w:val="0"/>
                  <w:marRight w:val="0"/>
                  <w:marTop w:val="0"/>
                  <w:marBottom w:val="0"/>
                  <w:divBdr>
                    <w:top w:val="none" w:sz="0" w:space="0" w:color="auto"/>
                    <w:left w:val="none" w:sz="0" w:space="0" w:color="auto"/>
                    <w:bottom w:val="none" w:sz="0" w:space="0" w:color="auto"/>
                    <w:right w:val="none" w:sz="0" w:space="0" w:color="auto"/>
                  </w:divBdr>
                  <w:divsChild>
                    <w:div w:id="1476221366">
                      <w:marLeft w:val="0"/>
                      <w:marRight w:val="0"/>
                      <w:marTop w:val="0"/>
                      <w:marBottom w:val="0"/>
                      <w:divBdr>
                        <w:top w:val="none" w:sz="0" w:space="0" w:color="auto"/>
                        <w:left w:val="none" w:sz="0" w:space="0" w:color="auto"/>
                        <w:bottom w:val="none" w:sz="0" w:space="0" w:color="auto"/>
                        <w:right w:val="none" w:sz="0" w:space="0" w:color="auto"/>
                      </w:divBdr>
                    </w:div>
                  </w:divsChild>
                </w:div>
                <w:div w:id="851188800">
                  <w:marLeft w:val="0"/>
                  <w:marRight w:val="0"/>
                  <w:marTop w:val="0"/>
                  <w:marBottom w:val="0"/>
                  <w:divBdr>
                    <w:top w:val="none" w:sz="0" w:space="0" w:color="auto"/>
                    <w:left w:val="none" w:sz="0" w:space="0" w:color="auto"/>
                    <w:bottom w:val="none" w:sz="0" w:space="0" w:color="auto"/>
                    <w:right w:val="none" w:sz="0" w:space="0" w:color="auto"/>
                  </w:divBdr>
                  <w:divsChild>
                    <w:div w:id="1081294683">
                      <w:marLeft w:val="0"/>
                      <w:marRight w:val="0"/>
                      <w:marTop w:val="0"/>
                      <w:marBottom w:val="0"/>
                      <w:divBdr>
                        <w:top w:val="none" w:sz="0" w:space="0" w:color="auto"/>
                        <w:left w:val="none" w:sz="0" w:space="0" w:color="auto"/>
                        <w:bottom w:val="none" w:sz="0" w:space="0" w:color="auto"/>
                        <w:right w:val="none" w:sz="0" w:space="0" w:color="auto"/>
                      </w:divBdr>
                    </w:div>
                  </w:divsChild>
                </w:div>
                <w:div w:id="857620151">
                  <w:marLeft w:val="0"/>
                  <w:marRight w:val="0"/>
                  <w:marTop w:val="0"/>
                  <w:marBottom w:val="0"/>
                  <w:divBdr>
                    <w:top w:val="none" w:sz="0" w:space="0" w:color="auto"/>
                    <w:left w:val="none" w:sz="0" w:space="0" w:color="auto"/>
                    <w:bottom w:val="none" w:sz="0" w:space="0" w:color="auto"/>
                    <w:right w:val="none" w:sz="0" w:space="0" w:color="auto"/>
                  </w:divBdr>
                  <w:divsChild>
                    <w:div w:id="623270619">
                      <w:marLeft w:val="0"/>
                      <w:marRight w:val="0"/>
                      <w:marTop w:val="0"/>
                      <w:marBottom w:val="0"/>
                      <w:divBdr>
                        <w:top w:val="none" w:sz="0" w:space="0" w:color="auto"/>
                        <w:left w:val="none" w:sz="0" w:space="0" w:color="auto"/>
                        <w:bottom w:val="none" w:sz="0" w:space="0" w:color="auto"/>
                        <w:right w:val="none" w:sz="0" w:space="0" w:color="auto"/>
                      </w:divBdr>
                    </w:div>
                  </w:divsChild>
                </w:div>
                <w:div w:id="873999255">
                  <w:marLeft w:val="0"/>
                  <w:marRight w:val="0"/>
                  <w:marTop w:val="0"/>
                  <w:marBottom w:val="0"/>
                  <w:divBdr>
                    <w:top w:val="none" w:sz="0" w:space="0" w:color="auto"/>
                    <w:left w:val="none" w:sz="0" w:space="0" w:color="auto"/>
                    <w:bottom w:val="none" w:sz="0" w:space="0" w:color="auto"/>
                    <w:right w:val="none" w:sz="0" w:space="0" w:color="auto"/>
                  </w:divBdr>
                  <w:divsChild>
                    <w:div w:id="2137597219">
                      <w:marLeft w:val="0"/>
                      <w:marRight w:val="0"/>
                      <w:marTop w:val="0"/>
                      <w:marBottom w:val="0"/>
                      <w:divBdr>
                        <w:top w:val="none" w:sz="0" w:space="0" w:color="auto"/>
                        <w:left w:val="none" w:sz="0" w:space="0" w:color="auto"/>
                        <w:bottom w:val="none" w:sz="0" w:space="0" w:color="auto"/>
                        <w:right w:val="none" w:sz="0" w:space="0" w:color="auto"/>
                      </w:divBdr>
                    </w:div>
                  </w:divsChild>
                </w:div>
                <w:div w:id="888415505">
                  <w:marLeft w:val="0"/>
                  <w:marRight w:val="0"/>
                  <w:marTop w:val="0"/>
                  <w:marBottom w:val="0"/>
                  <w:divBdr>
                    <w:top w:val="none" w:sz="0" w:space="0" w:color="auto"/>
                    <w:left w:val="none" w:sz="0" w:space="0" w:color="auto"/>
                    <w:bottom w:val="none" w:sz="0" w:space="0" w:color="auto"/>
                    <w:right w:val="none" w:sz="0" w:space="0" w:color="auto"/>
                  </w:divBdr>
                  <w:divsChild>
                    <w:div w:id="1875000189">
                      <w:marLeft w:val="0"/>
                      <w:marRight w:val="0"/>
                      <w:marTop w:val="0"/>
                      <w:marBottom w:val="0"/>
                      <w:divBdr>
                        <w:top w:val="none" w:sz="0" w:space="0" w:color="auto"/>
                        <w:left w:val="none" w:sz="0" w:space="0" w:color="auto"/>
                        <w:bottom w:val="none" w:sz="0" w:space="0" w:color="auto"/>
                        <w:right w:val="none" w:sz="0" w:space="0" w:color="auto"/>
                      </w:divBdr>
                    </w:div>
                  </w:divsChild>
                </w:div>
                <w:div w:id="924728737">
                  <w:marLeft w:val="0"/>
                  <w:marRight w:val="0"/>
                  <w:marTop w:val="0"/>
                  <w:marBottom w:val="0"/>
                  <w:divBdr>
                    <w:top w:val="none" w:sz="0" w:space="0" w:color="auto"/>
                    <w:left w:val="none" w:sz="0" w:space="0" w:color="auto"/>
                    <w:bottom w:val="none" w:sz="0" w:space="0" w:color="auto"/>
                    <w:right w:val="none" w:sz="0" w:space="0" w:color="auto"/>
                  </w:divBdr>
                  <w:divsChild>
                    <w:div w:id="1426614911">
                      <w:marLeft w:val="0"/>
                      <w:marRight w:val="0"/>
                      <w:marTop w:val="0"/>
                      <w:marBottom w:val="0"/>
                      <w:divBdr>
                        <w:top w:val="none" w:sz="0" w:space="0" w:color="auto"/>
                        <w:left w:val="none" w:sz="0" w:space="0" w:color="auto"/>
                        <w:bottom w:val="none" w:sz="0" w:space="0" w:color="auto"/>
                        <w:right w:val="none" w:sz="0" w:space="0" w:color="auto"/>
                      </w:divBdr>
                    </w:div>
                  </w:divsChild>
                </w:div>
                <w:div w:id="929697097">
                  <w:marLeft w:val="0"/>
                  <w:marRight w:val="0"/>
                  <w:marTop w:val="0"/>
                  <w:marBottom w:val="0"/>
                  <w:divBdr>
                    <w:top w:val="none" w:sz="0" w:space="0" w:color="auto"/>
                    <w:left w:val="none" w:sz="0" w:space="0" w:color="auto"/>
                    <w:bottom w:val="none" w:sz="0" w:space="0" w:color="auto"/>
                    <w:right w:val="none" w:sz="0" w:space="0" w:color="auto"/>
                  </w:divBdr>
                  <w:divsChild>
                    <w:div w:id="1868374660">
                      <w:marLeft w:val="0"/>
                      <w:marRight w:val="0"/>
                      <w:marTop w:val="0"/>
                      <w:marBottom w:val="0"/>
                      <w:divBdr>
                        <w:top w:val="none" w:sz="0" w:space="0" w:color="auto"/>
                        <w:left w:val="none" w:sz="0" w:space="0" w:color="auto"/>
                        <w:bottom w:val="none" w:sz="0" w:space="0" w:color="auto"/>
                        <w:right w:val="none" w:sz="0" w:space="0" w:color="auto"/>
                      </w:divBdr>
                    </w:div>
                  </w:divsChild>
                </w:div>
                <w:div w:id="971404448">
                  <w:marLeft w:val="0"/>
                  <w:marRight w:val="0"/>
                  <w:marTop w:val="0"/>
                  <w:marBottom w:val="0"/>
                  <w:divBdr>
                    <w:top w:val="none" w:sz="0" w:space="0" w:color="auto"/>
                    <w:left w:val="none" w:sz="0" w:space="0" w:color="auto"/>
                    <w:bottom w:val="none" w:sz="0" w:space="0" w:color="auto"/>
                    <w:right w:val="none" w:sz="0" w:space="0" w:color="auto"/>
                  </w:divBdr>
                  <w:divsChild>
                    <w:div w:id="1298535073">
                      <w:marLeft w:val="0"/>
                      <w:marRight w:val="0"/>
                      <w:marTop w:val="0"/>
                      <w:marBottom w:val="0"/>
                      <w:divBdr>
                        <w:top w:val="none" w:sz="0" w:space="0" w:color="auto"/>
                        <w:left w:val="none" w:sz="0" w:space="0" w:color="auto"/>
                        <w:bottom w:val="none" w:sz="0" w:space="0" w:color="auto"/>
                        <w:right w:val="none" w:sz="0" w:space="0" w:color="auto"/>
                      </w:divBdr>
                    </w:div>
                  </w:divsChild>
                </w:div>
                <w:div w:id="973213958">
                  <w:marLeft w:val="0"/>
                  <w:marRight w:val="0"/>
                  <w:marTop w:val="0"/>
                  <w:marBottom w:val="0"/>
                  <w:divBdr>
                    <w:top w:val="none" w:sz="0" w:space="0" w:color="auto"/>
                    <w:left w:val="none" w:sz="0" w:space="0" w:color="auto"/>
                    <w:bottom w:val="none" w:sz="0" w:space="0" w:color="auto"/>
                    <w:right w:val="none" w:sz="0" w:space="0" w:color="auto"/>
                  </w:divBdr>
                  <w:divsChild>
                    <w:div w:id="539900904">
                      <w:marLeft w:val="0"/>
                      <w:marRight w:val="0"/>
                      <w:marTop w:val="0"/>
                      <w:marBottom w:val="0"/>
                      <w:divBdr>
                        <w:top w:val="none" w:sz="0" w:space="0" w:color="auto"/>
                        <w:left w:val="none" w:sz="0" w:space="0" w:color="auto"/>
                        <w:bottom w:val="none" w:sz="0" w:space="0" w:color="auto"/>
                        <w:right w:val="none" w:sz="0" w:space="0" w:color="auto"/>
                      </w:divBdr>
                    </w:div>
                  </w:divsChild>
                </w:div>
                <w:div w:id="982465447">
                  <w:marLeft w:val="0"/>
                  <w:marRight w:val="0"/>
                  <w:marTop w:val="0"/>
                  <w:marBottom w:val="0"/>
                  <w:divBdr>
                    <w:top w:val="none" w:sz="0" w:space="0" w:color="auto"/>
                    <w:left w:val="none" w:sz="0" w:space="0" w:color="auto"/>
                    <w:bottom w:val="none" w:sz="0" w:space="0" w:color="auto"/>
                    <w:right w:val="none" w:sz="0" w:space="0" w:color="auto"/>
                  </w:divBdr>
                  <w:divsChild>
                    <w:div w:id="235553701">
                      <w:marLeft w:val="0"/>
                      <w:marRight w:val="0"/>
                      <w:marTop w:val="0"/>
                      <w:marBottom w:val="0"/>
                      <w:divBdr>
                        <w:top w:val="none" w:sz="0" w:space="0" w:color="auto"/>
                        <w:left w:val="none" w:sz="0" w:space="0" w:color="auto"/>
                        <w:bottom w:val="none" w:sz="0" w:space="0" w:color="auto"/>
                        <w:right w:val="none" w:sz="0" w:space="0" w:color="auto"/>
                      </w:divBdr>
                    </w:div>
                  </w:divsChild>
                </w:div>
                <w:div w:id="1036194871">
                  <w:marLeft w:val="0"/>
                  <w:marRight w:val="0"/>
                  <w:marTop w:val="0"/>
                  <w:marBottom w:val="0"/>
                  <w:divBdr>
                    <w:top w:val="none" w:sz="0" w:space="0" w:color="auto"/>
                    <w:left w:val="none" w:sz="0" w:space="0" w:color="auto"/>
                    <w:bottom w:val="none" w:sz="0" w:space="0" w:color="auto"/>
                    <w:right w:val="none" w:sz="0" w:space="0" w:color="auto"/>
                  </w:divBdr>
                  <w:divsChild>
                    <w:div w:id="1634093389">
                      <w:marLeft w:val="0"/>
                      <w:marRight w:val="0"/>
                      <w:marTop w:val="0"/>
                      <w:marBottom w:val="0"/>
                      <w:divBdr>
                        <w:top w:val="none" w:sz="0" w:space="0" w:color="auto"/>
                        <w:left w:val="none" w:sz="0" w:space="0" w:color="auto"/>
                        <w:bottom w:val="none" w:sz="0" w:space="0" w:color="auto"/>
                        <w:right w:val="none" w:sz="0" w:space="0" w:color="auto"/>
                      </w:divBdr>
                    </w:div>
                  </w:divsChild>
                </w:div>
                <w:div w:id="1066564154">
                  <w:marLeft w:val="0"/>
                  <w:marRight w:val="0"/>
                  <w:marTop w:val="0"/>
                  <w:marBottom w:val="0"/>
                  <w:divBdr>
                    <w:top w:val="none" w:sz="0" w:space="0" w:color="auto"/>
                    <w:left w:val="none" w:sz="0" w:space="0" w:color="auto"/>
                    <w:bottom w:val="none" w:sz="0" w:space="0" w:color="auto"/>
                    <w:right w:val="none" w:sz="0" w:space="0" w:color="auto"/>
                  </w:divBdr>
                  <w:divsChild>
                    <w:div w:id="268970302">
                      <w:marLeft w:val="0"/>
                      <w:marRight w:val="0"/>
                      <w:marTop w:val="0"/>
                      <w:marBottom w:val="0"/>
                      <w:divBdr>
                        <w:top w:val="none" w:sz="0" w:space="0" w:color="auto"/>
                        <w:left w:val="none" w:sz="0" w:space="0" w:color="auto"/>
                        <w:bottom w:val="none" w:sz="0" w:space="0" w:color="auto"/>
                        <w:right w:val="none" w:sz="0" w:space="0" w:color="auto"/>
                      </w:divBdr>
                    </w:div>
                    <w:div w:id="831599958">
                      <w:marLeft w:val="0"/>
                      <w:marRight w:val="0"/>
                      <w:marTop w:val="0"/>
                      <w:marBottom w:val="0"/>
                      <w:divBdr>
                        <w:top w:val="none" w:sz="0" w:space="0" w:color="auto"/>
                        <w:left w:val="none" w:sz="0" w:space="0" w:color="auto"/>
                        <w:bottom w:val="none" w:sz="0" w:space="0" w:color="auto"/>
                        <w:right w:val="none" w:sz="0" w:space="0" w:color="auto"/>
                      </w:divBdr>
                    </w:div>
                    <w:div w:id="855850089">
                      <w:marLeft w:val="0"/>
                      <w:marRight w:val="0"/>
                      <w:marTop w:val="0"/>
                      <w:marBottom w:val="0"/>
                      <w:divBdr>
                        <w:top w:val="none" w:sz="0" w:space="0" w:color="auto"/>
                        <w:left w:val="none" w:sz="0" w:space="0" w:color="auto"/>
                        <w:bottom w:val="none" w:sz="0" w:space="0" w:color="auto"/>
                        <w:right w:val="none" w:sz="0" w:space="0" w:color="auto"/>
                      </w:divBdr>
                    </w:div>
                    <w:div w:id="1485664465">
                      <w:marLeft w:val="0"/>
                      <w:marRight w:val="0"/>
                      <w:marTop w:val="0"/>
                      <w:marBottom w:val="0"/>
                      <w:divBdr>
                        <w:top w:val="none" w:sz="0" w:space="0" w:color="auto"/>
                        <w:left w:val="none" w:sz="0" w:space="0" w:color="auto"/>
                        <w:bottom w:val="none" w:sz="0" w:space="0" w:color="auto"/>
                        <w:right w:val="none" w:sz="0" w:space="0" w:color="auto"/>
                      </w:divBdr>
                    </w:div>
                  </w:divsChild>
                </w:div>
                <w:div w:id="1118792583">
                  <w:marLeft w:val="0"/>
                  <w:marRight w:val="0"/>
                  <w:marTop w:val="0"/>
                  <w:marBottom w:val="0"/>
                  <w:divBdr>
                    <w:top w:val="none" w:sz="0" w:space="0" w:color="auto"/>
                    <w:left w:val="none" w:sz="0" w:space="0" w:color="auto"/>
                    <w:bottom w:val="none" w:sz="0" w:space="0" w:color="auto"/>
                    <w:right w:val="none" w:sz="0" w:space="0" w:color="auto"/>
                  </w:divBdr>
                  <w:divsChild>
                    <w:div w:id="1461223134">
                      <w:marLeft w:val="0"/>
                      <w:marRight w:val="0"/>
                      <w:marTop w:val="0"/>
                      <w:marBottom w:val="0"/>
                      <w:divBdr>
                        <w:top w:val="none" w:sz="0" w:space="0" w:color="auto"/>
                        <w:left w:val="none" w:sz="0" w:space="0" w:color="auto"/>
                        <w:bottom w:val="none" w:sz="0" w:space="0" w:color="auto"/>
                        <w:right w:val="none" w:sz="0" w:space="0" w:color="auto"/>
                      </w:divBdr>
                    </w:div>
                  </w:divsChild>
                </w:div>
                <w:div w:id="1128358917">
                  <w:marLeft w:val="0"/>
                  <w:marRight w:val="0"/>
                  <w:marTop w:val="0"/>
                  <w:marBottom w:val="0"/>
                  <w:divBdr>
                    <w:top w:val="none" w:sz="0" w:space="0" w:color="auto"/>
                    <w:left w:val="none" w:sz="0" w:space="0" w:color="auto"/>
                    <w:bottom w:val="none" w:sz="0" w:space="0" w:color="auto"/>
                    <w:right w:val="none" w:sz="0" w:space="0" w:color="auto"/>
                  </w:divBdr>
                  <w:divsChild>
                    <w:div w:id="1506826021">
                      <w:marLeft w:val="0"/>
                      <w:marRight w:val="0"/>
                      <w:marTop w:val="0"/>
                      <w:marBottom w:val="0"/>
                      <w:divBdr>
                        <w:top w:val="none" w:sz="0" w:space="0" w:color="auto"/>
                        <w:left w:val="none" w:sz="0" w:space="0" w:color="auto"/>
                        <w:bottom w:val="none" w:sz="0" w:space="0" w:color="auto"/>
                        <w:right w:val="none" w:sz="0" w:space="0" w:color="auto"/>
                      </w:divBdr>
                    </w:div>
                  </w:divsChild>
                </w:div>
                <w:div w:id="1234048132">
                  <w:marLeft w:val="0"/>
                  <w:marRight w:val="0"/>
                  <w:marTop w:val="0"/>
                  <w:marBottom w:val="0"/>
                  <w:divBdr>
                    <w:top w:val="none" w:sz="0" w:space="0" w:color="auto"/>
                    <w:left w:val="none" w:sz="0" w:space="0" w:color="auto"/>
                    <w:bottom w:val="none" w:sz="0" w:space="0" w:color="auto"/>
                    <w:right w:val="none" w:sz="0" w:space="0" w:color="auto"/>
                  </w:divBdr>
                  <w:divsChild>
                    <w:div w:id="220796865">
                      <w:marLeft w:val="0"/>
                      <w:marRight w:val="0"/>
                      <w:marTop w:val="0"/>
                      <w:marBottom w:val="0"/>
                      <w:divBdr>
                        <w:top w:val="none" w:sz="0" w:space="0" w:color="auto"/>
                        <w:left w:val="none" w:sz="0" w:space="0" w:color="auto"/>
                        <w:bottom w:val="none" w:sz="0" w:space="0" w:color="auto"/>
                        <w:right w:val="none" w:sz="0" w:space="0" w:color="auto"/>
                      </w:divBdr>
                    </w:div>
                  </w:divsChild>
                </w:div>
                <w:div w:id="1255165495">
                  <w:marLeft w:val="0"/>
                  <w:marRight w:val="0"/>
                  <w:marTop w:val="0"/>
                  <w:marBottom w:val="0"/>
                  <w:divBdr>
                    <w:top w:val="none" w:sz="0" w:space="0" w:color="auto"/>
                    <w:left w:val="none" w:sz="0" w:space="0" w:color="auto"/>
                    <w:bottom w:val="none" w:sz="0" w:space="0" w:color="auto"/>
                    <w:right w:val="none" w:sz="0" w:space="0" w:color="auto"/>
                  </w:divBdr>
                  <w:divsChild>
                    <w:div w:id="1574505301">
                      <w:marLeft w:val="0"/>
                      <w:marRight w:val="0"/>
                      <w:marTop w:val="0"/>
                      <w:marBottom w:val="0"/>
                      <w:divBdr>
                        <w:top w:val="none" w:sz="0" w:space="0" w:color="auto"/>
                        <w:left w:val="none" w:sz="0" w:space="0" w:color="auto"/>
                        <w:bottom w:val="none" w:sz="0" w:space="0" w:color="auto"/>
                        <w:right w:val="none" w:sz="0" w:space="0" w:color="auto"/>
                      </w:divBdr>
                    </w:div>
                  </w:divsChild>
                </w:div>
                <w:div w:id="1320309988">
                  <w:marLeft w:val="0"/>
                  <w:marRight w:val="0"/>
                  <w:marTop w:val="0"/>
                  <w:marBottom w:val="0"/>
                  <w:divBdr>
                    <w:top w:val="none" w:sz="0" w:space="0" w:color="auto"/>
                    <w:left w:val="none" w:sz="0" w:space="0" w:color="auto"/>
                    <w:bottom w:val="none" w:sz="0" w:space="0" w:color="auto"/>
                    <w:right w:val="none" w:sz="0" w:space="0" w:color="auto"/>
                  </w:divBdr>
                  <w:divsChild>
                    <w:div w:id="879899747">
                      <w:marLeft w:val="0"/>
                      <w:marRight w:val="0"/>
                      <w:marTop w:val="0"/>
                      <w:marBottom w:val="0"/>
                      <w:divBdr>
                        <w:top w:val="none" w:sz="0" w:space="0" w:color="auto"/>
                        <w:left w:val="none" w:sz="0" w:space="0" w:color="auto"/>
                        <w:bottom w:val="none" w:sz="0" w:space="0" w:color="auto"/>
                        <w:right w:val="none" w:sz="0" w:space="0" w:color="auto"/>
                      </w:divBdr>
                    </w:div>
                  </w:divsChild>
                </w:div>
                <w:div w:id="1344088975">
                  <w:marLeft w:val="0"/>
                  <w:marRight w:val="0"/>
                  <w:marTop w:val="0"/>
                  <w:marBottom w:val="0"/>
                  <w:divBdr>
                    <w:top w:val="none" w:sz="0" w:space="0" w:color="auto"/>
                    <w:left w:val="none" w:sz="0" w:space="0" w:color="auto"/>
                    <w:bottom w:val="none" w:sz="0" w:space="0" w:color="auto"/>
                    <w:right w:val="none" w:sz="0" w:space="0" w:color="auto"/>
                  </w:divBdr>
                  <w:divsChild>
                    <w:div w:id="717360474">
                      <w:marLeft w:val="0"/>
                      <w:marRight w:val="0"/>
                      <w:marTop w:val="0"/>
                      <w:marBottom w:val="0"/>
                      <w:divBdr>
                        <w:top w:val="none" w:sz="0" w:space="0" w:color="auto"/>
                        <w:left w:val="none" w:sz="0" w:space="0" w:color="auto"/>
                        <w:bottom w:val="none" w:sz="0" w:space="0" w:color="auto"/>
                        <w:right w:val="none" w:sz="0" w:space="0" w:color="auto"/>
                      </w:divBdr>
                    </w:div>
                  </w:divsChild>
                </w:div>
                <w:div w:id="1406030920">
                  <w:marLeft w:val="0"/>
                  <w:marRight w:val="0"/>
                  <w:marTop w:val="0"/>
                  <w:marBottom w:val="0"/>
                  <w:divBdr>
                    <w:top w:val="none" w:sz="0" w:space="0" w:color="auto"/>
                    <w:left w:val="none" w:sz="0" w:space="0" w:color="auto"/>
                    <w:bottom w:val="none" w:sz="0" w:space="0" w:color="auto"/>
                    <w:right w:val="none" w:sz="0" w:space="0" w:color="auto"/>
                  </w:divBdr>
                  <w:divsChild>
                    <w:div w:id="668362441">
                      <w:marLeft w:val="0"/>
                      <w:marRight w:val="0"/>
                      <w:marTop w:val="0"/>
                      <w:marBottom w:val="0"/>
                      <w:divBdr>
                        <w:top w:val="none" w:sz="0" w:space="0" w:color="auto"/>
                        <w:left w:val="none" w:sz="0" w:space="0" w:color="auto"/>
                        <w:bottom w:val="none" w:sz="0" w:space="0" w:color="auto"/>
                        <w:right w:val="none" w:sz="0" w:space="0" w:color="auto"/>
                      </w:divBdr>
                    </w:div>
                  </w:divsChild>
                </w:div>
                <w:div w:id="1652250218">
                  <w:marLeft w:val="0"/>
                  <w:marRight w:val="0"/>
                  <w:marTop w:val="0"/>
                  <w:marBottom w:val="0"/>
                  <w:divBdr>
                    <w:top w:val="none" w:sz="0" w:space="0" w:color="auto"/>
                    <w:left w:val="none" w:sz="0" w:space="0" w:color="auto"/>
                    <w:bottom w:val="none" w:sz="0" w:space="0" w:color="auto"/>
                    <w:right w:val="none" w:sz="0" w:space="0" w:color="auto"/>
                  </w:divBdr>
                  <w:divsChild>
                    <w:div w:id="724527768">
                      <w:marLeft w:val="0"/>
                      <w:marRight w:val="0"/>
                      <w:marTop w:val="0"/>
                      <w:marBottom w:val="0"/>
                      <w:divBdr>
                        <w:top w:val="none" w:sz="0" w:space="0" w:color="auto"/>
                        <w:left w:val="none" w:sz="0" w:space="0" w:color="auto"/>
                        <w:bottom w:val="none" w:sz="0" w:space="0" w:color="auto"/>
                        <w:right w:val="none" w:sz="0" w:space="0" w:color="auto"/>
                      </w:divBdr>
                    </w:div>
                  </w:divsChild>
                </w:div>
                <w:div w:id="1745109221">
                  <w:marLeft w:val="0"/>
                  <w:marRight w:val="0"/>
                  <w:marTop w:val="0"/>
                  <w:marBottom w:val="0"/>
                  <w:divBdr>
                    <w:top w:val="none" w:sz="0" w:space="0" w:color="auto"/>
                    <w:left w:val="none" w:sz="0" w:space="0" w:color="auto"/>
                    <w:bottom w:val="none" w:sz="0" w:space="0" w:color="auto"/>
                    <w:right w:val="none" w:sz="0" w:space="0" w:color="auto"/>
                  </w:divBdr>
                  <w:divsChild>
                    <w:div w:id="1906335406">
                      <w:marLeft w:val="0"/>
                      <w:marRight w:val="0"/>
                      <w:marTop w:val="0"/>
                      <w:marBottom w:val="0"/>
                      <w:divBdr>
                        <w:top w:val="none" w:sz="0" w:space="0" w:color="auto"/>
                        <w:left w:val="none" w:sz="0" w:space="0" w:color="auto"/>
                        <w:bottom w:val="none" w:sz="0" w:space="0" w:color="auto"/>
                        <w:right w:val="none" w:sz="0" w:space="0" w:color="auto"/>
                      </w:divBdr>
                    </w:div>
                  </w:divsChild>
                </w:div>
                <w:div w:id="1746535790">
                  <w:marLeft w:val="0"/>
                  <w:marRight w:val="0"/>
                  <w:marTop w:val="0"/>
                  <w:marBottom w:val="0"/>
                  <w:divBdr>
                    <w:top w:val="none" w:sz="0" w:space="0" w:color="auto"/>
                    <w:left w:val="none" w:sz="0" w:space="0" w:color="auto"/>
                    <w:bottom w:val="none" w:sz="0" w:space="0" w:color="auto"/>
                    <w:right w:val="none" w:sz="0" w:space="0" w:color="auto"/>
                  </w:divBdr>
                  <w:divsChild>
                    <w:div w:id="2086536612">
                      <w:marLeft w:val="0"/>
                      <w:marRight w:val="0"/>
                      <w:marTop w:val="0"/>
                      <w:marBottom w:val="0"/>
                      <w:divBdr>
                        <w:top w:val="none" w:sz="0" w:space="0" w:color="auto"/>
                        <w:left w:val="none" w:sz="0" w:space="0" w:color="auto"/>
                        <w:bottom w:val="none" w:sz="0" w:space="0" w:color="auto"/>
                        <w:right w:val="none" w:sz="0" w:space="0" w:color="auto"/>
                      </w:divBdr>
                    </w:div>
                  </w:divsChild>
                </w:div>
                <w:div w:id="1777403568">
                  <w:marLeft w:val="0"/>
                  <w:marRight w:val="0"/>
                  <w:marTop w:val="0"/>
                  <w:marBottom w:val="0"/>
                  <w:divBdr>
                    <w:top w:val="none" w:sz="0" w:space="0" w:color="auto"/>
                    <w:left w:val="none" w:sz="0" w:space="0" w:color="auto"/>
                    <w:bottom w:val="none" w:sz="0" w:space="0" w:color="auto"/>
                    <w:right w:val="none" w:sz="0" w:space="0" w:color="auto"/>
                  </w:divBdr>
                  <w:divsChild>
                    <w:div w:id="1746606098">
                      <w:marLeft w:val="0"/>
                      <w:marRight w:val="0"/>
                      <w:marTop w:val="0"/>
                      <w:marBottom w:val="0"/>
                      <w:divBdr>
                        <w:top w:val="none" w:sz="0" w:space="0" w:color="auto"/>
                        <w:left w:val="none" w:sz="0" w:space="0" w:color="auto"/>
                        <w:bottom w:val="none" w:sz="0" w:space="0" w:color="auto"/>
                        <w:right w:val="none" w:sz="0" w:space="0" w:color="auto"/>
                      </w:divBdr>
                    </w:div>
                  </w:divsChild>
                </w:div>
                <w:div w:id="1810631022">
                  <w:marLeft w:val="0"/>
                  <w:marRight w:val="0"/>
                  <w:marTop w:val="0"/>
                  <w:marBottom w:val="0"/>
                  <w:divBdr>
                    <w:top w:val="none" w:sz="0" w:space="0" w:color="auto"/>
                    <w:left w:val="none" w:sz="0" w:space="0" w:color="auto"/>
                    <w:bottom w:val="none" w:sz="0" w:space="0" w:color="auto"/>
                    <w:right w:val="none" w:sz="0" w:space="0" w:color="auto"/>
                  </w:divBdr>
                  <w:divsChild>
                    <w:div w:id="1985357316">
                      <w:marLeft w:val="0"/>
                      <w:marRight w:val="0"/>
                      <w:marTop w:val="0"/>
                      <w:marBottom w:val="0"/>
                      <w:divBdr>
                        <w:top w:val="none" w:sz="0" w:space="0" w:color="auto"/>
                        <w:left w:val="none" w:sz="0" w:space="0" w:color="auto"/>
                        <w:bottom w:val="none" w:sz="0" w:space="0" w:color="auto"/>
                        <w:right w:val="none" w:sz="0" w:space="0" w:color="auto"/>
                      </w:divBdr>
                    </w:div>
                  </w:divsChild>
                </w:div>
                <w:div w:id="1823695959">
                  <w:marLeft w:val="0"/>
                  <w:marRight w:val="0"/>
                  <w:marTop w:val="0"/>
                  <w:marBottom w:val="0"/>
                  <w:divBdr>
                    <w:top w:val="none" w:sz="0" w:space="0" w:color="auto"/>
                    <w:left w:val="none" w:sz="0" w:space="0" w:color="auto"/>
                    <w:bottom w:val="none" w:sz="0" w:space="0" w:color="auto"/>
                    <w:right w:val="none" w:sz="0" w:space="0" w:color="auto"/>
                  </w:divBdr>
                  <w:divsChild>
                    <w:div w:id="355738396">
                      <w:marLeft w:val="0"/>
                      <w:marRight w:val="0"/>
                      <w:marTop w:val="0"/>
                      <w:marBottom w:val="0"/>
                      <w:divBdr>
                        <w:top w:val="none" w:sz="0" w:space="0" w:color="auto"/>
                        <w:left w:val="none" w:sz="0" w:space="0" w:color="auto"/>
                        <w:bottom w:val="none" w:sz="0" w:space="0" w:color="auto"/>
                        <w:right w:val="none" w:sz="0" w:space="0" w:color="auto"/>
                      </w:divBdr>
                    </w:div>
                  </w:divsChild>
                </w:div>
                <w:div w:id="1855420388">
                  <w:marLeft w:val="0"/>
                  <w:marRight w:val="0"/>
                  <w:marTop w:val="0"/>
                  <w:marBottom w:val="0"/>
                  <w:divBdr>
                    <w:top w:val="none" w:sz="0" w:space="0" w:color="auto"/>
                    <w:left w:val="none" w:sz="0" w:space="0" w:color="auto"/>
                    <w:bottom w:val="none" w:sz="0" w:space="0" w:color="auto"/>
                    <w:right w:val="none" w:sz="0" w:space="0" w:color="auto"/>
                  </w:divBdr>
                  <w:divsChild>
                    <w:div w:id="677193994">
                      <w:marLeft w:val="0"/>
                      <w:marRight w:val="0"/>
                      <w:marTop w:val="0"/>
                      <w:marBottom w:val="0"/>
                      <w:divBdr>
                        <w:top w:val="none" w:sz="0" w:space="0" w:color="auto"/>
                        <w:left w:val="none" w:sz="0" w:space="0" w:color="auto"/>
                        <w:bottom w:val="none" w:sz="0" w:space="0" w:color="auto"/>
                        <w:right w:val="none" w:sz="0" w:space="0" w:color="auto"/>
                      </w:divBdr>
                    </w:div>
                  </w:divsChild>
                </w:div>
                <w:div w:id="1909459608">
                  <w:marLeft w:val="0"/>
                  <w:marRight w:val="0"/>
                  <w:marTop w:val="0"/>
                  <w:marBottom w:val="0"/>
                  <w:divBdr>
                    <w:top w:val="none" w:sz="0" w:space="0" w:color="auto"/>
                    <w:left w:val="none" w:sz="0" w:space="0" w:color="auto"/>
                    <w:bottom w:val="none" w:sz="0" w:space="0" w:color="auto"/>
                    <w:right w:val="none" w:sz="0" w:space="0" w:color="auto"/>
                  </w:divBdr>
                  <w:divsChild>
                    <w:div w:id="599142406">
                      <w:marLeft w:val="0"/>
                      <w:marRight w:val="0"/>
                      <w:marTop w:val="0"/>
                      <w:marBottom w:val="0"/>
                      <w:divBdr>
                        <w:top w:val="none" w:sz="0" w:space="0" w:color="auto"/>
                        <w:left w:val="none" w:sz="0" w:space="0" w:color="auto"/>
                        <w:bottom w:val="none" w:sz="0" w:space="0" w:color="auto"/>
                        <w:right w:val="none" w:sz="0" w:space="0" w:color="auto"/>
                      </w:divBdr>
                    </w:div>
                  </w:divsChild>
                </w:div>
                <w:div w:id="1933512751">
                  <w:marLeft w:val="0"/>
                  <w:marRight w:val="0"/>
                  <w:marTop w:val="0"/>
                  <w:marBottom w:val="0"/>
                  <w:divBdr>
                    <w:top w:val="none" w:sz="0" w:space="0" w:color="auto"/>
                    <w:left w:val="none" w:sz="0" w:space="0" w:color="auto"/>
                    <w:bottom w:val="none" w:sz="0" w:space="0" w:color="auto"/>
                    <w:right w:val="none" w:sz="0" w:space="0" w:color="auto"/>
                  </w:divBdr>
                  <w:divsChild>
                    <w:div w:id="43526617">
                      <w:marLeft w:val="0"/>
                      <w:marRight w:val="0"/>
                      <w:marTop w:val="0"/>
                      <w:marBottom w:val="0"/>
                      <w:divBdr>
                        <w:top w:val="none" w:sz="0" w:space="0" w:color="auto"/>
                        <w:left w:val="none" w:sz="0" w:space="0" w:color="auto"/>
                        <w:bottom w:val="none" w:sz="0" w:space="0" w:color="auto"/>
                        <w:right w:val="none" w:sz="0" w:space="0" w:color="auto"/>
                      </w:divBdr>
                    </w:div>
                  </w:divsChild>
                </w:div>
                <w:div w:id="2058426937">
                  <w:marLeft w:val="0"/>
                  <w:marRight w:val="0"/>
                  <w:marTop w:val="0"/>
                  <w:marBottom w:val="0"/>
                  <w:divBdr>
                    <w:top w:val="none" w:sz="0" w:space="0" w:color="auto"/>
                    <w:left w:val="none" w:sz="0" w:space="0" w:color="auto"/>
                    <w:bottom w:val="none" w:sz="0" w:space="0" w:color="auto"/>
                    <w:right w:val="none" w:sz="0" w:space="0" w:color="auto"/>
                  </w:divBdr>
                  <w:divsChild>
                    <w:div w:id="2098482258">
                      <w:marLeft w:val="0"/>
                      <w:marRight w:val="0"/>
                      <w:marTop w:val="0"/>
                      <w:marBottom w:val="0"/>
                      <w:divBdr>
                        <w:top w:val="none" w:sz="0" w:space="0" w:color="auto"/>
                        <w:left w:val="none" w:sz="0" w:space="0" w:color="auto"/>
                        <w:bottom w:val="none" w:sz="0" w:space="0" w:color="auto"/>
                        <w:right w:val="none" w:sz="0" w:space="0" w:color="auto"/>
                      </w:divBdr>
                    </w:div>
                  </w:divsChild>
                </w:div>
                <w:div w:id="2075422433">
                  <w:marLeft w:val="0"/>
                  <w:marRight w:val="0"/>
                  <w:marTop w:val="0"/>
                  <w:marBottom w:val="0"/>
                  <w:divBdr>
                    <w:top w:val="none" w:sz="0" w:space="0" w:color="auto"/>
                    <w:left w:val="none" w:sz="0" w:space="0" w:color="auto"/>
                    <w:bottom w:val="none" w:sz="0" w:space="0" w:color="auto"/>
                    <w:right w:val="none" w:sz="0" w:space="0" w:color="auto"/>
                  </w:divBdr>
                  <w:divsChild>
                    <w:div w:id="1449739349">
                      <w:marLeft w:val="0"/>
                      <w:marRight w:val="0"/>
                      <w:marTop w:val="0"/>
                      <w:marBottom w:val="0"/>
                      <w:divBdr>
                        <w:top w:val="none" w:sz="0" w:space="0" w:color="auto"/>
                        <w:left w:val="none" w:sz="0" w:space="0" w:color="auto"/>
                        <w:bottom w:val="none" w:sz="0" w:space="0" w:color="auto"/>
                        <w:right w:val="none" w:sz="0" w:space="0" w:color="auto"/>
                      </w:divBdr>
                    </w:div>
                  </w:divsChild>
                </w:div>
                <w:div w:id="2119834270">
                  <w:marLeft w:val="0"/>
                  <w:marRight w:val="0"/>
                  <w:marTop w:val="0"/>
                  <w:marBottom w:val="0"/>
                  <w:divBdr>
                    <w:top w:val="none" w:sz="0" w:space="0" w:color="auto"/>
                    <w:left w:val="none" w:sz="0" w:space="0" w:color="auto"/>
                    <w:bottom w:val="none" w:sz="0" w:space="0" w:color="auto"/>
                    <w:right w:val="none" w:sz="0" w:space="0" w:color="auto"/>
                  </w:divBdr>
                  <w:divsChild>
                    <w:div w:id="37619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265919">
          <w:marLeft w:val="0"/>
          <w:marRight w:val="0"/>
          <w:marTop w:val="0"/>
          <w:marBottom w:val="0"/>
          <w:divBdr>
            <w:top w:val="none" w:sz="0" w:space="0" w:color="auto"/>
            <w:left w:val="none" w:sz="0" w:space="0" w:color="auto"/>
            <w:bottom w:val="none" w:sz="0" w:space="0" w:color="auto"/>
            <w:right w:val="none" w:sz="0" w:space="0" w:color="auto"/>
          </w:divBdr>
        </w:div>
      </w:divsChild>
    </w:div>
    <w:div w:id="1750155387">
      <w:bodyDiv w:val="1"/>
      <w:marLeft w:val="0"/>
      <w:marRight w:val="0"/>
      <w:marTop w:val="0"/>
      <w:marBottom w:val="0"/>
      <w:divBdr>
        <w:top w:val="none" w:sz="0" w:space="0" w:color="auto"/>
        <w:left w:val="none" w:sz="0" w:space="0" w:color="auto"/>
        <w:bottom w:val="none" w:sz="0" w:space="0" w:color="auto"/>
        <w:right w:val="none" w:sz="0" w:space="0" w:color="auto"/>
      </w:divBdr>
      <w:divsChild>
        <w:div w:id="1396204718">
          <w:marLeft w:val="0"/>
          <w:marRight w:val="0"/>
          <w:marTop w:val="0"/>
          <w:marBottom w:val="0"/>
          <w:divBdr>
            <w:top w:val="none" w:sz="0" w:space="0" w:color="auto"/>
            <w:left w:val="none" w:sz="0" w:space="0" w:color="auto"/>
            <w:bottom w:val="none" w:sz="0" w:space="0" w:color="auto"/>
            <w:right w:val="none" w:sz="0" w:space="0" w:color="auto"/>
          </w:divBdr>
        </w:div>
        <w:div w:id="2096438186">
          <w:marLeft w:val="0"/>
          <w:marRight w:val="0"/>
          <w:marTop w:val="0"/>
          <w:marBottom w:val="0"/>
          <w:divBdr>
            <w:top w:val="none" w:sz="0" w:space="0" w:color="auto"/>
            <w:left w:val="none" w:sz="0" w:space="0" w:color="auto"/>
            <w:bottom w:val="none" w:sz="0" w:space="0" w:color="auto"/>
            <w:right w:val="none" w:sz="0" w:space="0" w:color="auto"/>
          </w:divBdr>
        </w:div>
      </w:divsChild>
    </w:div>
    <w:div w:id="1777166884">
      <w:bodyDiv w:val="1"/>
      <w:marLeft w:val="0"/>
      <w:marRight w:val="0"/>
      <w:marTop w:val="0"/>
      <w:marBottom w:val="0"/>
      <w:divBdr>
        <w:top w:val="none" w:sz="0" w:space="0" w:color="auto"/>
        <w:left w:val="none" w:sz="0" w:space="0" w:color="auto"/>
        <w:bottom w:val="none" w:sz="0" w:space="0" w:color="auto"/>
        <w:right w:val="none" w:sz="0" w:space="0" w:color="auto"/>
      </w:divBdr>
      <w:divsChild>
        <w:div w:id="41950071">
          <w:marLeft w:val="0"/>
          <w:marRight w:val="0"/>
          <w:marTop w:val="0"/>
          <w:marBottom w:val="0"/>
          <w:divBdr>
            <w:top w:val="none" w:sz="0" w:space="0" w:color="auto"/>
            <w:left w:val="none" w:sz="0" w:space="0" w:color="auto"/>
            <w:bottom w:val="none" w:sz="0" w:space="0" w:color="auto"/>
            <w:right w:val="none" w:sz="0" w:space="0" w:color="auto"/>
          </w:divBdr>
        </w:div>
        <w:div w:id="574439290">
          <w:marLeft w:val="0"/>
          <w:marRight w:val="0"/>
          <w:marTop w:val="0"/>
          <w:marBottom w:val="0"/>
          <w:divBdr>
            <w:top w:val="none" w:sz="0" w:space="0" w:color="auto"/>
            <w:left w:val="none" w:sz="0" w:space="0" w:color="auto"/>
            <w:bottom w:val="none" w:sz="0" w:space="0" w:color="auto"/>
            <w:right w:val="none" w:sz="0" w:space="0" w:color="auto"/>
          </w:divBdr>
          <w:divsChild>
            <w:div w:id="1807697769">
              <w:marLeft w:val="-75"/>
              <w:marRight w:val="0"/>
              <w:marTop w:val="30"/>
              <w:marBottom w:val="30"/>
              <w:divBdr>
                <w:top w:val="none" w:sz="0" w:space="0" w:color="auto"/>
                <w:left w:val="none" w:sz="0" w:space="0" w:color="auto"/>
                <w:bottom w:val="none" w:sz="0" w:space="0" w:color="auto"/>
                <w:right w:val="none" w:sz="0" w:space="0" w:color="auto"/>
              </w:divBdr>
              <w:divsChild>
                <w:div w:id="149253530">
                  <w:marLeft w:val="0"/>
                  <w:marRight w:val="0"/>
                  <w:marTop w:val="0"/>
                  <w:marBottom w:val="0"/>
                  <w:divBdr>
                    <w:top w:val="none" w:sz="0" w:space="0" w:color="auto"/>
                    <w:left w:val="none" w:sz="0" w:space="0" w:color="auto"/>
                    <w:bottom w:val="none" w:sz="0" w:space="0" w:color="auto"/>
                    <w:right w:val="none" w:sz="0" w:space="0" w:color="auto"/>
                  </w:divBdr>
                  <w:divsChild>
                    <w:div w:id="987829179">
                      <w:marLeft w:val="0"/>
                      <w:marRight w:val="0"/>
                      <w:marTop w:val="0"/>
                      <w:marBottom w:val="0"/>
                      <w:divBdr>
                        <w:top w:val="none" w:sz="0" w:space="0" w:color="auto"/>
                        <w:left w:val="none" w:sz="0" w:space="0" w:color="auto"/>
                        <w:bottom w:val="none" w:sz="0" w:space="0" w:color="auto"/>
                        <w:right w:val="none" w:sz="0" w:space="0" w:color="auto"/>
                      </w:divBdr>
                    </w:div>
                  </w:divsChild>
                </w:div>
                <w:div w:id="162162857">
                  <w:marLeft w:val="0"/>
                  <w:marRight w:val="0"/>
                  <w:marTop w:val="0"/>
                  <w:marBottom w:val="0"/>
                  <w:divBdr>
                    <w:top w:val="none" w:sz="0" w:space="0" w:color="auto"/>
                    <w:left w:val="none" w:sz="0" w:space="0" w:color="auto"/>
                    <w:bottom w:val="none" w:sz="0" w:space="0" w:color="auto"/>
                    <w:right w:val="none" w:sz="0" w:space="0" w:color="auto"/>
                  </w:divBdr>
                  <w:divsChild>
                    <w:div w:id="1732341898">
                      <w:marLeft w:val="0"/>
                      <w:marRight w:val="0"/>
                      <w:marTop w:val="0"/>
                      <w:marBottom w:val="0"/>
                      <w:divBdr>
                        <w:top w:val="none" w:sz="0" w:space="0" w:color="auto"/>
                        <w:left w:val="none" w:sz="0" w:space="0" w:color="auto"/>
                        <w:bottom w:val="none" w:sz="0" w:space="0" w:color="auto"/>
                        <w:right w:val="none" w:sz="0" w:space="0" w:color="auto"/>
                      </w:divBdr>
                    </w:div>
                  </w:divsChild>
                </w:div>
                <w:div w:id="201334096">
                  <w:marLeft w:val="0"/>
                  <w:marRight w:val="0"/>
                  <w:marTop w:val="0"/>
                  <w:marBottom w:val="0"/>
                  <w:divBdr>
                    <w:top w:val="none" w:sz="0" w:space="0" w:color="auto"/>
                    <w:left w:val="none" w:sz="0" w:space="0" w:color="auto"/>
                    <w:bottom w:val="none" w:sz="0" w:space="0" w:color="auto"/>
                    <w:right w:val="none" w:sz="0" w:space="0" w:color="auto"/>
                  </w:divBdr>
                  <w:divsChild>
                    <w:div w:id="909387819">
                      <w:marLeft w:val="0"/>
                      <w:marRight w:val="0"/>
                      <w:marTop w:val="0"/>
                      <w:marBottom w:val="0"/>
                      <w:divBdr>
                        <w:top w:val="none" w:sz="0" w:space="0" w:color="auto"/>
                        <w:left w:val="none" w:sz="0" w:space="0" w:color="auto"/>
                        <w:bottom w:val="none" w:sz="0" w:space="0" w:color="auto"/>
                        <w:right w:val="none" w:sz="0" w:space="0" w:color="auto"/>
                      </w:divBdr>
                    </w:div>
                  </w:divsChild>
                </w:div>
                <w:div w:id="210505763">
                  <w:marLeft w:val="0"/>
                  <w:marRight w:val="0"/>
                  <w:marTop w:val="0"/>
                  <w:marBottom w:val="0"/>
                  <w:divBdr>
                    <w:top w:val="none" w:sz="0" w:space="0" w:color="auto"/>
                    <w:left w:val="none" w:sz="0" w:space="0" w:color="auto"/>
                    <w:bottom w:val="none" w:sz="0" w:space="0" w:color="auto"/>
                    <w:right w:val="none" w:sz="0" w:space="0" w:color="auto"/>
                  </w:divBdr>
                  <w:divsChild>
                    <w:div w:id="2095711039">
                      <w:marLeft w:val="0"/>
                      <w:marRight w:val="0"/>
                      <w:marTop w:val="0"/>
                      <w:marBottom w:val="0"/>
                      <w:divBdr>
                        <w:top w:val="none" w:sz="0" w:space="0" w:color="auto"/>
                        <w:left w:val="none" w:sz="0" w:space="0" w:color="auto"/>
                        <w:bottom w:val="none" w:sz="0" w:space="0" w:color="auto"/>
                        <w:right w:val="none" w:sz="0" w:space="0" w:color="auto"/>
                      </w:divBdr>
                    </w:div>
                  </w:divsChild>
                </w:div>
                <w:div w:id="257981356">
                  <w:marLeft w:val="0"/>
                  <w:marRight w:val="0"/>
                  <w:marTop w:val="0"/>
                  <w:marBottom w:val="0"/>
                  <w:divBdr>
                    <w:top w:val="none" w:sz="0" w:space="0" w:color="auto"/>
                    <w:left w:val="none" w:sz="0" w:space="0" w:color="auto"/>
                    <w:bottom w:val="none" w:sz="0" w:space="0" w:color="auto"/>
                    <w:right w:val="none" w:sz="0" w:space="0" w:color="auto"/>
                  </w:divBdr>
                  <w:divsChild>
                    <w:div w:id="1109936137">
                      <w:marLeft w:val="0"/>
                      <w:marRight w:val="0"/>
                      <w:marTop w:val="0"/>
                      <w:marBottom w:val="0"/>
                      <w:divBdr>
                        <w:top w:val="none" w:sz="0" w:space="0" w:color="auto"/>
                        <w:left w:val="none" w:sz="0" w:space="0" w:color="auto"/>
                        <w:bottom w:val="none" w:sz="0" w:space="0" w:color="auto"/>
                        <w:right w:val="none" w:sz="0" w:space="0" w:color="auto"/>
                      </w:divBdr>
                    </w:div>
                  </w:divsChild>
                </w:div>
                <w:div w:id="325861621">
                  <w:marLeft w:val="0"/>
                  <w:marRight w:val="0"/>
                  <w:marTop w:val="0"/>
                  <w:marBottom w:val="0"/>
                  <w:divBdr>
                    <w:top w:val="none" w:sz="0" w:space="0" w:color="auto"/>
                    <w:left w:val="none" w:sz="0" w:space="0" w:color="auto"/>
                    <w:bottom w:val="none" w:sz="0" w:space="0" w:color="auto"/>
                    <w:right w:val="none" w:sz="0" w:space="0" w:color="auto"/>
                  </w:divBdr>
                  <w:divsChild>
                    <w:div w:id="1286544837">
                      <w:marLeft w:val="0"/>
                      <w:marRight w:val="0"/>
                      <w:marTop w:val="0"/>
                      <w:marBottom w:val="0"/>
                      <w:divBdr>
                        <w:top w:val="none" w:sz="0" w:space="0" w:color="auto"/>
                        <w:left w:val="none" w:sz="0" w:space="0" w:color="auto"/>
                        <w:bottom w:val="none" w:sz="0" w:space="0" w:color="auto"/>
                        <w:right w:val="none" w:sz="0" w:space="0" w:color="auto"/>
                      </w:divBdr>
                    </w:div>
                  </w:divsChild>
                </w:div>
                <w:div w:id="340741992">
                  <w:marLeft w:val="0"/>
                  <w:marRight w:val="0"/>
                  <w:marTop w:val="0"/>
                  <w:marBottom w:val="0"/>
                  <w:divBdr>
                    <w:top w:val="none" w:sz="0" w:space="0" w:color="auto"/>
                    <w:left w:val="none" w:sz="0" w:space="0" w:color="auto"/>
                    <w:bottom w:val="none" w:sz="0" w:space="0" w:color="auto"/>
                    <w:right w:val="none" w:sz="0" w:space="0" w:color="auto"/>
                  </w:divBdr>
                  <w:divsChild>
                    <w:div w:id="184831423">
                      <w:marLeft w:val="0"/>
                      <w:marRight w:val="0"/>
                      <w:marTop w:val="0"/>
                      <w:marBottom w:val="0"/>
                      <w:divBdr>
                        <w:top w:val="none" w:sz="0" w:space="0" w:color="auto"/>
                        <w:left w:val="none" w:sz="0" w:space="0" w:color="auto"/>
                        <w:bottom w:val="none" w:sz="0" w:space="0" w:color="auto"/>
                        <w:right w:val="none" w:sz="0" w:space="0" w:color="auto"/>
                      </w:divBdr>
                    </w:div>
                    <w:div w:id="531722899">
                      <w:marLeft w:val="0"/>
                      <w:marRight w:val="0"/>
                      <w:marTop w:val="0"/>
                      <w:marBottom w:val="0"/>
                      <w:divBdr>
                        <w:top w:val="none" w:sz="0" w:space="0" w:color="auto"/>
                        <w:left w:val="none" w:sz="0" w:space="0" w:color="auto"/>
                        <w:bottom w:val="none" w:sz="0" w:space="0" w:color="auto"/>
                        <w:right w:val="none" w:sz="0" w:space="0" w:color="auto"/>
                      </w:divBdr>
                    </w:div>
                    <w:div w:id="660233416">
                      <w:marLeft w:val="0"/>
                      <w:marRight w:val="0"/>
                      <w:marTop w:val="0"/>
                      <w:marBottom w:val="0"/>
                      <w:divBdr>
                        <w:top w:val="none" w:sz="0" w:space="0" w:color="auto"/>
                        <w:left w:val="none" w:sz="0" w:space="0" w:color="auto"/>
                        <w:bottom w:val="none" w:sz="0" w:space="0" w:color="auto"/>
                        <w:right w:val="none" w:sz="0" w:space="0" w:color="auto"/>
                      </w:divBdr>
                    </w:div>
                    <w:div w:id="780878994">
                      <w:marLeft w:val="0"/>
                      <w:marRight w:val="0"/>
                      <w:marTop w:val="0"/>
                      <w:marBottom w:val="0"/>
                      <w:divBdr>
                        <w:top w:val="none" w:sz="0" w:space="0" w:color="auto"/>
                        <w:left w:val="none" w:sz="0" w:space="0" w:color="auto"/>
                        <w:bottom w:val="none" w:sz="0" w:space="0" w:color="auto"/>
                        <w:right w:val="none" w:sz="0" w:space="0" w:color="auto"/>
                      </w:divBdr>
                    </w:div>
                    <w:div w:id="1228877435">
                      <w:marLeft w:val="0"/>
                      <w:marRight w:val="0"/>
                      <w:marTop w:val="0"/>
                      <w:marBottom w:val="0"/>
                      <w:divBdr>
                        <w:top w:val="none" w:sz="0" w:space="0" w:color="auto"/>
                        <w:left w:val="none" w:sz="0" w:space="0" w:color="auto"/>
                        <w:bottom w:val="none" w:sz="0" w:space="0" w:color="auto"/>
                        <w:right w:val="none" w:sz="0" w:space="0" w:color="auto"/>
                      </w:divBdr>
                    </w:div>
                    <w:div w:id="2061784634">
                      <w:marLeft w:val="0"/>
                      <w:marRight w:val="0"/>
                      <w:marTop w:val="0"/>
                      <w:marBottom w:val="0"/>
                      <w:divBdr>
                        <w:top w:val="none" w:sz="0" w:space="0" w:color="auto"/>
                        <w:left w:val="none" w:sz="0" w:space="0" w:color="auto"/>
                        <w:bottom w:val="none" w:sz="0" w:space="0" w:color="auto"/>
                        <w:right w:val="none" w:sz="0" w:space="0" w:color="auto"/>
                      </w:divBdr>
                    </w:div>
                    <w:div w:id="2134858261">
                      <w:marLeft w:val="0"/>
                      <w:marRight w:val="0"/>
                      <w:marTop w:val="0"/>
                      <w:marBottom w:val="0"/>
                      <w:divBdr>
                        <w:top w:val="none" w:sz="0" w:space="0" w:color="auto"/>
                        <w:left w:val="none" w:sz="0" w:space="0" w:color="auto"/>
                        <w:bottom w:val="none" w:sz="0" w:space="0" w:color="auto"/>
                        <w:right w:val="none" w:sz="0" w:space="0" w:color="auto"/>
                      </w:divBdr>
                    </w:div>
                  </w:divsChild>
                </w:div>
                <w:div w:id="419255664">
                  <w:marLeft w:val="0"/>
                  <w:marRight w:val="0"/>
                  <w:marTop w:val="0"/>
                  <w:marBottom w:val="0"/>
                  <w:divBdr>
                    <w:top w:val="none" w:sz="0" w:space="0" w:color="auto"/>
                    <w:left w:val="none" w:sz="0" w:space="0" w:color="auto"/>
                    <w:bottom w:val="none" w:sz="0" w:space="0" w:color="auto"/>
                    <w:right w:val="none" w:sz="0" w:space="0" w:color="auto"/>
                  </w:divBdr>
                  <w:divsChild>
                    <w:div w:id="1364328488">
                      <w:marLeft w:val="0"/>
                      <w:marRight w:val="0"/>
                      <w:marTop w:val="0"/>
                      <w:marBottom w:val="0"/>
                      <w:divBdr>
                        <w:top w:val="none" w:sz="0" w:space="0" w:color="auto"/>
                        <w:left w:val="none" w:sz="0" w:space="0" w:color="auto"/>
                        <w:bottom w:val="none" w:sz="0" w:space="0" w:color="auto"/>
                        <w:right w:val="none" w:sz="0" w:space="0" w:color="auto"/>
                      </w:divBdr>
                    </w:div>
                  </w:divsChild>
                </w:div>
                <w:div w:id="447284170">
                  <w:marLeft w:val="0"/>
                  <w:marRight w:val="0"/>
                  <w:marTop w:val="0"/>
                  <w:marBottom w:val="0"/>
                  <w:divBdr>
                    <w:top w:val="none" w:sz="0" w:space="0" w:color="auto"/>
                    <w:left w:val="none" w:sz="0" w:space="0" w:color="auto"/>
                    <w:bottom w:val="none" w:sz="0" w:space="0" w:color="auto"/>
                    <w:right w:val="none" w:sz="0" w:space="0" w:color="auto"/>
                  </w:divBdr>
                  <w:divsChild>
                    <w:div w:id="1352994474">
                      <w:marLeft w:val="0"/>
                      <w:marRight w:val="0"/>
                      <w:marTop w:val="0"/>
                      <w:marBottom w:val="0"/>
                      <w:divBdr>
                        <w:top w:val="none" w:sz="0" w:space="0" w:color="auto"/>
                        <w:left w:val="none" w:sz="0" w:space="0" w:color="auto"/>
                        <w:bottom w:val="none" w:sz="0" w:space="0" w:color="auto"/>
                        <w:right w:val="none" w:sz="0" w:space="0" w:color="auto"/>
                      </w:divBdr>
                    </w:div>
                  </w:divsChild>
                </w:div>
                <w:div w:id="523590898">
                  <w:marLeft w:val="0"/>
                  <w:marRight w:val="0"/>
                  <w:marTop w:val="0"/>
                  <w:marBottom w:val="0"/>
                  <w:divBdr>
                    <w:top w:val="none" w:sz="0" w:space="0" w:color="auto"/>
                    <w:left w:val="none" w:sz="0" w:space="0" w:color="auto"/>
                    <w:bottom w:val="none" w:sz="0" w:space="0" w:color="auto"/>
                    <w:right w:val="none" w:sz="0" w:space="0" w:color="auto"/>
                  </w:divBdr>
                  <w:divsChild>
                    <w:div w:id="1644578922">
                      <w:marLeft w:val="0"/>
                      <w:marRight w:val="0"/>
                      <w:marTop w:val="0"/>
                      <w:marBottom w:val="0"/>
                      <w:divBdr>
                        <w:top w:val="none" w:sz="0" w:space="0" w:color="auto"/>
                        <w:left w:val="none" w:sz="0" w:space="0" w:color="auto"/>
                        <w:bottom w:val="none" w:sz="0" w:space="0" w:color="auto"/>
                        <w:right w:val="none" w:sz="0" w:space="0" w:color="auto"/>
                      </w:divBdr>
                    </w:div>
                  </w:divsChild>
                </w:div>
                <w:div w:id="594898735">
                  <w:marLeft w:val="0"/>
                  <w:marRight w:val="0"/>
                  <w:marTop w:val="0"/>
                  <w:marBottom w:val="0"/>
                  <w:divBdr>
                    <w:top w:val="none" w:sz="0" w:space="0" w:color="auto"/>
                    <w:left w:val="none" w:sz="0" w:space="0" w:color="auto"/>
                    <w:bottom w:val="none" w:sz="0" w:space="0" w:color="auto"/>
                    <w:right w:val="none" w:sz="0" w:space="0" w:color="auto"/>
                  </w:divBdr>
                  <w:divsChild>
                    <w:div w:id="92944385">
                      <w:marLeft w:val="0"/>
                      <w:marRight w:val="0"/>
                      <w:marTop w:val="0"/>
                      <w:marBottom w:val="0"/>
                      <w:divBdr>
                        <w:top w:val="none" w:sz="0" w:space="0" w:color="auto"/>
                        <w:left w:val="none" w:sz="0" w:space="0" w:color="auto"/>
                        <w:bottom w:val="none" w:sz="0" w:space="0" w:color="auto"/>
                        <w:right w:val="none" w:sz="0" w:space="0" w:color="auto"/>
                      </w:divBdr>
                    </w:div>
                  </w:divsChild>
                </w:div>
                <w:div w:id="628584781">
                  <w:marLeft w:val="0"/>
                  <w:marRight w:val="0"/>
                  <w:marTop w:val="0"/>
                  <w:marBottom w:val="0"/>
                  <w:divBdr>
                    <w:top w:val="none" w:sz="0" w:space="0" w:color="auto"/>
                    <w:left w:val="none" w:sz="0" w:space="0" w:color="auto"/>
                    <w:bottom w:val="none" w:sz="0" w:space="0" w:color="auto"/>
                    <w:right w:val="none" w:sz="0" w:space="0" w:color="auto"/>
                  </w:divBdr>
                  <w:divsChild>
                    <w:div w:id="472253932">
                      <w:marLeft w:val="0"/>
                      <w:marRight w:val="0"/>
                      <w:marTop w:val="0"/>
                      <w:marBottom w:val="0"/>
                      <w:divBdr>
                        <w:top w:val="none" w:sz="0" w:space="0" w:color="auto"/>
                        <w:left w:val="none" w:sz="0" w:space="0" w:color="auto"/>
                        <w:bottom w:val="none" w:sz="0" w:space="0" w:color="auto"/>
                        <w:right w:val="none" w:sz="0" w:space="0" w:color="auto"/>
                      </w:divBdr>
                    </w:div>
                  </w:divsChild>
                </w:div>
                <w:div w:id="649485107">
                  <w:marLeft w:val="0"/>
                  <w:marRight w:val="0"/>
                  <w:marTop w:val="0"/>
                  <w:marBottom w:val="0"/>
                  <w:divBdr>
                    <w:top w:val="none" w:sz="0" w:space="0" w:color="auto"/>
                    <w:left w:val="none" w:sz="0" w:space="0" w:color="auto"/>
                    <w:bottom w:val="none" w:sz="0" w:space="0" w:color="auto"/>
                    <w:right w:val="none" w:sz="0" w:space="0" w:color="auto"/>
                  </w:divBdr>
                  <w:divsChild>
                    <w:div w:id="1712799769">
                      <w:marLeft w:val="0"/>
                      <w:marRight w:val="0"/>
                      <w:marTop w:val="0"/>
                      <w:marBottom w:val="0"/>
                      <w:divBdr>
                        <w:top w:val="none" w:sz="0" w:space="0" w:color="auto"/>
                        <w:left w:val="none" w:sz="0" w:space="0" w:color="auto"/>
                        <w:bottom w:val="none" w:sz="0" w:space="0" w:color="auto"/>
                        <w:right w:val="none" w:sz="0" w:space="0" w:color="auto"/>
                      </w:divBdr>
                    </w:div>
                  </w:divsChild>
                </w:div>
                <w:div w:id="664287621">
                  <w:marLeft w:val="0"/>
                  <w:marRight w:val="0"/>
                  <w:marTop w:val="0"/>
                  <w:marBottom w:val="0"/>
                  <w:divBdr>
                    <w:top w:val="none" w:sz="0" w:space="0" w:color="auto"/>
                    <w:left w:val="none" w:sz="0" w:space="0" w:color="auto"/>
                    <w:bottom w:val="none" w:sz="0" w:space="0" w:color="auto"/>
                    <w:right w:val="none" w:sz="0" w:space="0" w:color="auto"/>
                  </w:divBdr>
                  <w:divsChild>
                    <w:div w:id="1968270505">
                      <w:marLeft w:val="0"/>
                      <w:marRight w:val="0"/>
                      <w:marTop w:val="0"/>
                      <w:marBottom w:val="0"/>
                      <w:divBdr>
                        <w:top w:val="none" w:sz="0" w:space="0" w:color="auto"/>
                        <w:left w:val="none" w:sz="0" w:space="0" w:color="auto"/>
                        <w:bottom w:val="none" w:sz="0" w:space="0" w:color="auto"/>
                        <w:right w:val="none" w:sz="0" w:space="0" w:color="auto"/>
                      </w:divBdr>
                    </w:div>
                  </w:divsChild>
                </w:div>
                <w:div w:id="790783099">
                  <w:marLeft w:val="0"/>
                  <w:marRight w:val="0"/>
                  <w:marTop w:val="0"/>
                  <w:marBottom w:val="0"/>
                  <w:divBdr>
                    <w:top w:val="none" w:sz="0" w:space="0" w:color="auto"/>
                    <w:left w:val="none" w:sz="0" w:space="0" w:color="auto"/>
                    <w:bottom w:val="none" w:sz="0" w:space="0" w:color="auto"/>
                    <w:right w:val="none" w:sz="0" w:space="0" w:color="auto"/>
                  </w:divBdr>
                  <w:divsChild>
                    <w:div w:id="2111654191">
                      <w:marLeft w:val="0"/>
                      <w:marRight w:val="0"/>
                      <w:marTop w:val="0"/>
                      <w:marBottom w:val="0"/>
                      <w:divBdr>
                        <w:top w:val="none" w:sz="0" w:space="0" w:color="auto"/>
                        <w:left w:val="none" w:sz="0" w:space="0" w:color="auto"/>
                        <w:bottom w:val="none" w:sz="0" w:space="0" w:color="auto"/>
                        <w:right w:val="none" w:sz="0" w:space="0" w:color="auto"/>
                      </w:divBdr>
                    </w:div>
                  </w:divsChild>
                </w:div>
                <w:div w:id="947270589">
                  <w:marLeft w:val="0"/>
                  <w:marRight w:val="0"/>
                  <w:marTop w:val="0"/>
                  <w:marBottom w:val="0"/>
                  <w:divBdr>
                    <w:top w:val="none" w:sz="0" w:space="0" w:color="auto"/>
                    <w:left w:val="none" w:sz="0" w:space="0" w:color="auto"/>
                    <w:bottom w:val="none" w:sz="0" w:space="0" w:color="auto"/>
                    <w:right w:val="none" w:sz="0" w:space="0" w:color="auto"/>
                  </w:divBdr>
                  <w:divsChild>
                    <w:div w:id="612830093">
                      <w:marLeft w:val="0"/>
                      <w:marRight w:val="0"/>
                      <w:marTop w:val="0"/>
                      <w:marBottom w:val="0"/>
                      <w:divBdr>
                        <w:top w:val="none" w:sz="0" w:space="0" w:color="auto"/>
                        <w:left w:val="none" w:sz="0" w:space="0" w:color="auto"/>
                        <w:bottom w:val="none" w:sz="0" w:space="0" w:color="auto"/>
                        <w:right w:val="none" w:sz="0" w:space="0" w:color="auto"/>
                      </w:divBdr>
                    </w:div>
                  </w:divsChild>
                </w:div>
                <w:div w:id="992100517">
                  <w:marLeft w:val="0"/>
                  <w:marRight w:val="0"/>
                  <w:marTop w:val="0"/>
                  <w:marBottom w:val="0"/>
                  <w:divBdr>
                    <w:top w:val="none" w:sz="0" w:space="0" w:color="auto"/>
                    <w:left w:val="none" w:sz="0" w:space="0" w:color="auto"/>
                    <w:bottom w:val="none" w:sz="0" w:space="0" w:color="auto"/>
                    <w:right w:val="none" w:sz="0" w:space="0" w:color="auto"/>
                  </w:divBdr>
                  <w:divsChild>
                    <w:div w:id="1135683982">
                      <w:marLeft w:val="0"/>
                      <w:marRight w:val="0"/>
                      <w:marTop w:val="0"/>
                      <w:marBottom w:val="0"/>
                      <w:divBdr>
                        <w:top w:val="none" w:sz="0" w:space="0" w:color="auto"/>
                        <w:left w:val="none" w:sz="0" w:space="0" w:color="auto"/>
                        <w:bottom w:val="none" w:sz="0" w:space="0" w:color="auto"/>
                        <w:right w:val="none" w:sz="0" w:space="0" w:color="auto"/>
                      </w:divBdr>
                    </w:div>
                  </w:divsChild>
                </w:div>
                <w:div w:id="1028876596">
                  <w:marLeft w:val="0"/>
                  <w:marRight w:val="0"/>
                  <w:marTop w:val="0"/>
                  <w:marBottom w:val="0"/>
                  <w:divBdr>
                    <w:top w:val="none" w:sz="0" w:space="0" w:color="auto"/>
                    <w:left w:val="none" w:sz="0" w:space="0" w:color="auto"/>
                    <w:bottom w:val="none" w:sz="0" w:space="0" w:color="auto"/>
                    <w:right w:val="none" w:sz="0" w:space="0" w:color="auto"/>
                  </w:divBdr>
                  <w:divsChild>
                    <w:div w:id="526215530">
                      <w:marLeft w:val="0"/>
                      <w:marRight w:val="0"/>
                      <w:marTop w:val="0"/>
                      <w:marBottom w:val="0"/>
                      <w:divBdr>
                        <w:top w:val="none" w:sz="0" w:space="0" w:color="auto"/>
                        <w:left w:val="none" w:sz="0" w:space="0" w:color="auto"/>
                        <w:bottom w:val="none" w:sz="0" w:space="0" w:color="auto"/>
                        <w:right w:val="none" w:sz="0" w:space="0" w:color="auto"/>
                      </w:divBdr>
                    </w:div>
                  </w:divsChild>
                </w:div>
                <w:div w:id="1042284730">
                  <w:marLeft w:val="0"/>
                  <w:marRight w:val="0"/>
                  <w:marTop w:val="0"/>
                  <w:marBottom w:val="0"/>
                  <w:divBdr>
                    <w:top w:val="none" w:sz="0" w:space="0" w:color="auto"/>
                    <w:left w:val="none" w:sz="0" w:space="0" w:color="auto"/>
                    <w:bottom w:val="none" w:sz="0" w:space="0" w:color="auto"/>
                    <w:right w:val="none" w:sz="0" w:space="0" w:color="auto"/>
                  </w:divBdr>
                  <w:divsChild>
                    <w:div w:id="1500802968">
                      <w:marLeft w:val="0"/>
                      <w:marRight w:val="0"/>
                      <w:marTop w:val="0"/>
                      <w:marBottom w:val="0"/>
                      <w:divBdr>
                        <w:top w:val="none" w:sz="0" w:space="0" w:color="auto"/>
                        <w:left w:val="none" w:sz="0" w:space="0" w:color="auto"/>
                        <w:bottom w:val="none" w:sz="0" w:space="0" w:color="auto"/>
                        <w:right w:val="none" w:sz="0" w:space="0" w:color="auto"/>
                      </w:divBdr>
                    </w:div>
                  </w:divsChild>
                </w:div>
                <w:div w:id="1074856309">
                  <w:marLeft w:val="0"/>
                  <w:marRight w:val="0"/>
                  <w:marTop w:val="0"/>
                  <w:marBottom w:val="0"/>
                  <w:divBdr>
                    <w:top w:val="none" w:sz="0" w:space="0" w:color="auto"/>
                    <w:left w:val="none" w:sz="0" w:space="0" w:color="auto"/>
                    <w:bottom w:val="none" w:sz="0" w:space="0" w:color="auto"/>
                    <w:right w:val="none" w:sz="0" w:space="0" w:color="auto"/>
                  </w:divBdr>
                  <w:divsChild>
                    <w:div w:id="1225874600">
                      <w:marLeft w:val="0"/>
                      <w:marRight w:val="0"/>
                      <w:marTop w:val="0"/>
                      <w:marBottom w:val="0"/>
                      <w:divBdr>
                        <w:top w:val="none" w:sz="0" w:space="0" w:color="auto"/>
                        <w:left w:val="none" w:sz="0" w:space="0" w:color="auto"/>
                        <w:bottom w:val="none" w:sz="0" w:space="0" w:color="auto"/>
                        <w:right w:val="none" w:sz="0" w:space="0" w:color="auto"/>
                      </w:divBdr>
                    </w:div>
                  </w:divsChild>
                </w:div>
                <w:div w:id="1077050593">
                  <w:marLeft w:val="0"/>
                  <w:marRight w:val="0"/>
                  <w:marTop w:val="0"/>
                  <w:marBottom w:val="0"/>
                  <w:divBdr>
                    <w:top w:val="none" w:sz="0" w:space="0" w:color="auto"/>
                    <w:left w:val="none" w:sz="0" w:space="0" w:color="auto"/>
                    <w:bottom w:val="none" w:sz="0" w:space="0" w:color="auto"/>
                    <w:right w:val="none" w:sz="0" w:space="0" w:color="auto"/>
                  </w:divBdr>
                  <w:divsChild>
                    <w:div w:id="1654138117">
                      <w:marLeft w:val="0"/>
                      <w:marRight w:val="0"/>
                      <w:marTop w:val="0"/>
                      <w:marBottom w:val="0"/>
                      <w:divBdr>
                        <w:top w:val="none" w:sz="0" w:space="0" w:color="auto"/>
                        <w:left w:val="none" w:sz="0" w:space="0" w:color="auto"/>
                        <w:bottom w:val="none" w:sz="0" w:space="0" w:color="auto"/>
                        <w:right w:val="none" w:sz="0" w:space="0" w:color="auto"/>
                      </w:divBdr>
                    </w:div>
                  </w:divsChild>
                </w:div>
                <w:div w:id="1083575384">
                  <w:marLeft w:val="0"/>
                  <w:marRight w:val="0"/>
                  <w:marTop w:val="0"/>
                  <w:marBottom w:val="0"/>
                  <w:divBdr>
                    <w:top w:val="none" w:sz="0" w:space="0" w:color="auto"/>
                    <w:left w:val="none" w:sz="0" w:space="0" w:color="auto"/>
                    <w:bottom w:val="none" w:sz="0" w:space="0" w:color="auto"/>
                    <w:right w:val="none" w:sz="0" w:space="0" w:color="auto"/>
                  </w:divBdr>
                  <w:divsChild>
                    <w:div w:id="1294016015">
                      <w:marLeft w:val="0"/>
                      <w:marRight w:val="0"/>
                      <w:marTop w:val="0"/>
                      <w:marBottom w:val="0"/>
                      <w:divBdr>
                        <w:top w:val="none" w:sz="0" w:space="0" w:color="auto"/>
                        <w:left w:val="none" w:sz="0" w:space="0" w:color="auto"/>
                        <w:bottom w:val="none" w:sz="0" w:space="0" w:color="auto"/>
                        <w:right w:val="none" w:sz="0" w:space="0" w:color="auto"/>
                      </w:divBdr>
                    </w:div>
                  </w:divsChild>
                </w:div>
                <w:div w:id="1090078054">
                  <w:marLeft w:val="0"/>
                  <w:marRight w:val="0"/>
                  <w:marTop w:val="0"/>
                  <w:marBottom w:val="0"/>
                  <w:divBdr>
                    <w:top w:val="none" w:sz="0" w:space="0" w:color="auto"/>
                    <w:left w:val="none" w:sz="0" w:space="0" w:color="auto"/>
                    <w:bottom w:val="none" w:sz="0" w:space="0" w:color="auto"/>
                    <w:right w:val="none" w:sz="0" w:space="0" w:color="auto"/>
                  </w:divBdr>
                  <w:divsChild>
                    <w:div w:id="568811742">
                      <w:marLeft w:val="0"/>
                      <w:marRight w:val="0"/>
                      <w:marTop w:val="0"/>
                      <w:marBottom w:val="0"/>
                      <w:divBdr>
                        <w:top w:val="none" w:sz="0" w:space="0" w:color="auto"/>
                        <w:left w:val="none" w:sz="0" w:space="0" w:color="auto"/>
                        <w:bottom w:val="none" w:sz="0" w:space="0" w:color="auto"/>
                        <w:right w:val="none" w:sz="0" w:space="0" w:color="auto"/>
                      </w:divBdr>
                    </w:div>
                  </w:divsChild>
                </w:div>
                <w:div w:id="1162310326">
                  <w:marLeft w:val="0"/>
                  <w:marRight w:val="0"/>
                  <w:marTop w:val="0"/>
                  <w:marBottom w:val="0"/>
                  <w:divBdr>
                    <w:top w:val="none" w:sz="0" w:space="0" w:color="auto"/>
                    <w:left w:val="none" w:sz="0" w:space="0" w:color="auto"/>
                    <w:bottom w:val="none" w:sz="0" w:space="0" w:color="auto"/>
                    <w:right w:val="none" w:sz="0" w:space="0" w:color="auto"/>
                  </w:divBdr>
                  <w:divsChild>
                    <w:div w:id="628557319">
                      <w:marLeft w:val="0"/>
                      <w:marRight w:val="0"/>
                      <w:marTop w:val="0"/>
                      <w:marBottom w:val="0"/>
                      <w:divBdr>
                        <w:top w:val="none" w:sz="0" w:space="0" w:color="auto"/>
                        <w:left w:val="none" w:sz="0" w:space="0" w:color="auto"/>
                        <w:bottom w:val="none" w:sz="0" w:space="0" w:color="auto"/>
                        <w:right w:val="none" w:sz="0" w:space="0" w:color="auto"/>
                      </w:divBdr>
                    </w:div>
                  </w:divsChild>
                </w:div>
                <w:div w:id="1215890976">
                  <w:marLeft w:val="0"/>
                  <w:marRight w:val="0"/>
                  <w:marTop w:val="0"/>
                  <w:marBottom w:val="0"/>
                  <w:divBdr>
                    <w:top w:val="none" w:sz="0" w:space="0" w:color="auto"/>
                    <w:left w:val="none" w:sz="0" w:space="0" w:color="auto"/>
                    <w:bottom w:val="none" w:sz="0" w:space="0" w:color="auto"/>
                    <w:right w:val="none" w:sz="0" w:space="0" w:color="auto"/>
                  </w:divBdr>
                  <w:divsChild>
                    <w:div w:id="2132287455">
                      <w:marLeft w:val="0"/>
                      <w:marRight w:val="0"/>
                      <w:marTop w:val="0"/>
                      <w:marBottom w:val="0"/>
                      <w:divBdr>
                        <w:top w:val="none" w:sz="0" w:space="0" w:color="auto"/>
                        <w:left w:val="none" w:sz="0" w:space="0" w:color="auto"/>
                        <w:bottom w:val="none" w:sz="0" w:space="0" w:color="auto"/>
                        <w:right w:val="none" w:sz="0" w:space="0" w:color="auto"/>
                      </w:divBdr>
                    </w:div>
                  </w:divsChild>
                </w:div>
                <w:div w:id="1302687466">
                  <w:marLeft w:val="0"/>
                  <w:marRight w:val="0"/>
                  <w:marTop w:val="0"/>
                  <w:marBottom w:val="0"/>
                  <w:divBdr>
                    <w:top w:val="none" w:sz="0" w:space="0" w:color="auto"/>
                    <w:left w:val="none" w:sz="0" w:space="0" w:color="auto"/>
                    <w:bottom w:val="none" w:sz="0" w:space="0" w:color="auto"/>
                    <w:right w:val="none" w:sz="0" w:space="0" w:color="auto"/>
                  </w:divBdr>
                  <w:divsChild>
                    <w:div w:id="298806278">
                      <w:marLeft w:val="0"/>
                      <w:marRight w:val="0"/>
                      <w:marTop w:val="0"/>
                      <w:marBottom w:val="0"/>
                      <w:divBdr>
                        <w:top w:val="none" w:sz="0" w:space="0" w:color="auto"/>
                        <w:left w:val="none" w:sz="0" w:space="0" w:color="auto"/>
                        <w:bottom w:val="none" w:sz="0" w:space="0" w:color="auto"/>
                        <w:right w:val="none" w:sz="0" w:space="0" w:color="auto"/>
                      </w:divBdr>
                    </w:div>
                  </w:divsChild>
                </w:div>
                <w:div w:id="1346439982">
                  <w:marLeft w:val="0"/>
                  <w:marRight w:val="0"/>
                  <w:marTop w:val="0"/>
                  <w:marBottom w:val="0"/>
                  <w:divBdr>
                    <w:top w:val="none" w:sz="0" w:space="0" w:color="auto"/>
                    <w:left w:val="none" w:sz="0" w:space="0" w:color="auto"/>
                    <w:bottom w:val="none" w:sz="0" w:space="0" w:color="auto"/>
                    <w:right w:val="none" w:sz="0" w:space="0" w:color="auto"/>
                  </w:divBdr>
                  <w:divsChild>
                    <w:div w:id="1358653823">
                      <w:marLeft w:val="0"/>
                      <w:marRight w:val="0"/>
                      <w:marTop w:val="0"/>
                      <w:marBottom w:val="0"/>
                      <w:divBdr>
                        <w:top w:val="none" w:sz="0" w:space="0" w:color="auto"/>
                        <w:left w:val="none" w:sz="0" w:space="0" w:color="auto"/>
                        <w:bottom w:val="none" w:sz="0" w:space="0" w:color="auto"/>
                        <w:right w:val="none" w:sz="0" w:space="0" w:color="auto"/>
                      </w:divBdr>
                    </w:div>
                  </w:divsChild>
                </w:div>
                <w:div w:id="1355156248">
                  <w:marLeft w:val="0"/>
                  <w:marRight w:val="0"/>
                  <w:marTop w:val="0"/>
                  <w:marBottom w:val="0"/>
                  <w:divBdr>
                    <w:top w:val="none" w:sz="0" w:space="0" w:color="auto"/>
                    <w:left w:val="none" w:sz="0" w:space="0" w:color="auto"/>
                    <w:bottom w:val="none" w:sz="0" w:space="0" w:color="auto"/>
                    <w:right w:val="none" w:sz="0" w:space="0" w:color="auto"/>
                  </w:divBdr>
                  <w:divsChild>
                    <w:div w:id="73673019">
                      <w:marLeft w:val="0"/>
                      <w:marRight w:val="0"/>
                      <w:marTop w:val="0"/>
                      <w:marBottom w:val="0"/>
                      <w:divBdr>
                        <w:top w:val="none" w:sz="0" w:space="0" w:color="auto"/>
                        <w:left w:val="none" w:sz="0" w:space="0" w:color="auto"/>
                        <w:bottom w:val="none" w:sz="0" w:space="0" w:color="auto"/>
                        <w:right w:val="none" w:sz="0" w:space="0" w:color="auto"/>
                      </w:divBdr>
                    </w:div>
                  </w:divsChild>
                </w:div>
                <w:div w:id="1367877495">
                  <w:marLeft w:val="0"/>
                  <w:marRight w:val="0"/>
                  <w:marTop w:val="0"/>
                  <w:marBottom w:val="0"/>
                  <w:divBdr>
                    <w:top w:val="none" w:sz="0" w:space="0" w:color="auto"/>
                    <w:left w:val="none" w:sz="0" w:space="0" w:color="auto"/>
                    <w:bottom w:val="none" w:sz="0" w:space="0" w:color="auto"/>
                    <w:right w:val="none" w:sz="0" w:space="0" w:color="auto"/>
                  </w:divBdr>
                  <w:divsChild>
                    <w:div w:id="2057847044">
                      <w:marLeft w:val="0"/>
                      <w:marRight w:val="0"/>
                      <w:marTop w:val="0"/>
                      <w:marBottom w:val="0"/>
                      <w:divBdr>
                        <w:top w:val="none" w:sz="0" w:space="0" w:color="auto"/>
                        <w:left w:val="none" w:sz="0" w:space="0" w:color="auto"/>
                        <w:bottom w:val="none" w:sz="0" w:space="0" w:color="auto"/>
                        <w:right w:val="none" w:sz="0" w:space="0" w:color="auto"/>
                      </w:divBdr>
                    </w:div>
                  </w:divsChild>
                </w:div>
                <w:div w:id="1375427762">
                  <w:marLeft w:val="0"/>
                  <w:marRight w:val="0"/>
                  <w:marTop w:val="0"/>
                  <w:marBottom w:val="0"/>
                  <w:divBdr>
                    <w:top w:val="none" w:sz="0" w:space="0" w:color="auto"/>
                    <w:left w:val="none" w:sz="0" w:space="0" w:color="auto"/>
                    <w:bottom w:val="none" w:sz="0" w:space="0" w:color="auto"/>
                    <w:right w:val="none" w:sz="0" w:space="0" w:color="auto"/>
                  </w:divBdr>
                  <w:divsChild>
                    <w:div w:id="1979727255">
                      <w:marLeft w:val="0"/>
                      <w:marRight w:val="0"/>
                      <w:marTop w:val="0"/>
                      <w:marBottom w:val="0"/>
                      <w:divBdr>
                        <w:top w:val="none" w:sz="0" w:space="0" w:color="auto"/>
                        <w:left w:val="none" w:sz="0" w:space="0" w:color="auto"/>
                        <w:bottom w:val="none" w:sz="0" w:space="0" w:color="auto"/>
                        <w:right w:val="none" w:sz="0" w:space="0" w:color="auto"/>
                      </w:divBdr>
                    </w:div>
                  </w:divsChild>
                </w:div>
                <w:div w:id="1443381658">
                  <w:marLeft w:val="0"/>
                  <w:marRight w:val="0"/>
                  <w:marTop w:val="0"/>
                  <w:marBottom w:val="0"/>
                  <w:divBdr>
                    <w:top w:val="none" w:sz="0" w:space="0" w:color="auto"/>
                    <w:left w:val="none" w:sz="0" w:space="0" w:color="auto"/>
                    <w:bottom w:val="none" w:sz="0" w:space="0" w:color="auto"/>
                    <w:right w:val="none" w:sz="0" w:space="0" w:color="auto"/>
                  </w:divBdr>
                  <w:divsChild>
                    <w:div w:id="376783805">
                      <w:marLeft w:val="0"/>
                      <w:marRight w:val="0"/>
                      <w:marTop w:val="0"/>
                      <w:marBottom w:val="0"/>
                      <w:divBdr>
                        <w:top w:val="none" w:sz="0" w:space="0" w:color="auto"/>
                        <w:left w:val="none" w:sz="0" w:space="0" w:color="auto"/>
                        <w:bottom w:val="none" w:sz="0" w:space="0" w:color="auto"/>
                        <w:right w:val="none" w:sz="0" w:space="0" w:color="auto"/>
                      </w:divBdr>
                    </w:div>
                  </w:divsChild>
                </w:div>
                <w:div w:id="1479422546">
                  <w:marLeft w:val="0"/>
                  <w:marRight w:val="0"/>
                  <w:marTop w:val="0"/>
                  <w:marBottom w:val="0"/>
                  <w:divBdr>
                    <w:top w:val="none" w:sz="0" w:space="0" w:color="auto"/>
                    <w:left w:val="none" w:sz="0" w:space="0" w:color="auto"/>
                    <w:bottom w:val="none" w:sz="0" w:space="0" w:color="auto"/>
                    <w:right w:val="none" w:sz="0" w:space="0" w:color="auto"/>
                  </w:divBdr>
                  <w:divsChild>
                    <w:div w:id="480662549">
                      <w:marLeft w:val="0"/>
                      <w:marRight w:val="0"/>
                      <w:marTop w:val="0"/>
                      <w:marBottom w:val="0"/>
                      <w:divBdr>
                        <w:top w:val="none" w:sz="0" w:space="0" w:color="auto"/>
                        <w:left w:val="none" w:sz="0" w:space="0" w:color="auto"/>
                        <w:bottom w:val="none" w:sz="0" w:space="0" w:color="auto"/>
                        <w:right w:val="none" w:sz="0" w:space="0" w:color="auto"/>
                      </w:divBdr>
                    </w:div>
                  </w:divsChild>
                </w:div>
                <w:div w:id="1525169919">
                  <w:marLeft w:val="0"/>
                  <w:marRight w:val="0"/>
                  <w:marTop w:val="0"/>
                  <w:marBottom w:val="0"/>
                  <w:divBdr>
                    <w:top w:val="none" w:sz="0" w:space="0" w:color="auto"/>
                    <w:left w:val="none" w:sz="0" w:space="0" w:color="auto"/>
                    <w:bottom w:val="none" w:sz="0" w:space="0" w:color="auto"/>
                    <w:right w:val="none" w:sz="0" w:space="0" w:color="auto"/>
                  </w:divBdr>
                  <w:divsChild>
                    <w:div w:id="76370105">
                      <w:marLeft w:val="0"/>
                      <w:marRight w:val="0"/>
                      <w:marTop w:val="0"/>
                      <w:marBottom w:val="0"/>
                      <w:divBdr>
                        <w:top w:val="none" w:sz="0" w:space="0" w:color="auto"/>
                        <w:left w:val="none" w:sz="0" w:space="0" w:color="auto"/>
                        <w:bottom w:val="none" w:sz="0" w:space="0" w:color="auto"/>
                        <w:right w:val="none" w:sz="0" w:space="0" w:color="auto"/>
                      </w:divBdr>
                    </w:div>
                  </w:divsChild>
                </w:div>
                <w:div w:id="1546797052">
                  <w:marLeft w:val="0"/>
                  <w:marRight w:val="0"/>
                  <w:marTop w:val="0"/>
                  <w:marBottom w:val="0"/>
                  <w:divBdr>
                    <w:top w:val="none" w:sz="0" w:space="0" w:color="auto"/>
                    <w:left w:val="none" w:sz="0" w:space="0" w:color="auto"/>
                    <w:bottom w:val="none" w:sz="0" w:space="0" w:color="auto"/>
                    <w:right w:val="none" w:sz="0" w:space="0" w:color="auto"/>
                  </w:divBdr>
                  <w:divsChild>
                    <w:div w:id="804854828">
                      <w:marLeft w:val="0"/>
                      <w:marRight w:val="0"/>
                      <w:marTop w:val="0"/>
                      <w:marBottom w:val="0"/>
                      <w:divBdr>
                        <w:top w:val="none" w:sz="0" w:space="0" w:color="auto"/>
                        <w:left w:val="none" w:sz="0" w:space="0" w:color="auto"/>
                        <w:bottom w:val="none" w:sz="0" w:space="0" w:color="auto"/>
                        <w:right w:val="none" w:sz="0" w:space="0" w:color="auto"/>
                      </w:divBdr>
                    </w:div>
                  </w:divsChild>
                </w:div>
                <w:div w:id="1551844043">
                  <w:marLeft w:val="0"/>
                  <w:marRight w:val="0"/>
                  <w:marTop w:val="0"/>
                  <w:marBottom w:val="0"/>
                  <w:divBdr>
                    <w:top w:val="none" w:sz="0" w:space="0" w:color="auto"/>
                    <w:left w:val="none" w:sz="0" w:space="0" w:color="auto"/>
                    <w:bottom w:val="none" w:sz="0" w:space="0" w:color="auto"/>
                    <w:right w:val="none" w:sz="0" w:space="0" w:color="auto"/>
                  </w:divBdr>
                  <w:divsChild>
                    <w:div w:id="1610235711">
                      <w:marLeft w:val="0"/>
                      <w:marRight w:val="0"/>
                      <w:marTop w:val="0"/>
                      <w:marBottom w:val="0"/>
                      <w:divBdr>
                        <w:top w:val="none" w:sz="0" w:space="0" w:color="auto"/>
                        <w:left w:val="none" w:sz="0" w:space="0" w:color="auto"/>
                        <w:bottom w:val="none" w:sz="0" w:space="0" w:color="auto"/>
                        <w:right w:val="none" w:sz="0" w:space="0" w:color="auto"/>
                      </w:divBdr>
                    </w:div>
                  </w:divsChild>
                </w:div>
                <w:div w:id="1592618705">
                  <w:marLeft w:val="0"/>
                  <w:marRight w:val="0"/>
                  <w:marTop w:val="0"/>
                  <w:marBottom w:val="0"/>
                  <w:divBdr>
                    <w:top w:val="none" w:sz="0" w:space="0" w:color="auto"/>
                    <w:left w:val="none" w:sz="0" w:space="0" w:color="auto"/>
                    <w:bottom w:val="none" w:sz="0" w:space="0" w:color="auto"/>
                    <w:right w:val="none" w:sz="0" w:space="0" w:color="auto"/>
                  </w:divBdr>
                  <w:divsChild>
                    <w:div w:id="415716113">
                      <w:marLeft w:val="0"/>
                      <w:marRight w:val="0"/>
                      <w:marTop w:val="0"/>
                      <w:marBottom w:val="0"/>
                      <w:divBdr>
                        <w:top w:val="none" w:sz="0" w:space="0" w:color="auto"/>
                        <w:left w:val="none" w:sz="0" w:space="0" w:color="auto"/>
                        <w:bottom w:val="none" w:sz="0" w:space="0" w:color="auto"/>
                        <w:right w:val="none" w:sz="0" w:space="0" w:color="auto"/>
                      </w:divBdr>
                    </w:div>
                  </w:divsChild>
                </w:div>
                <w:div w:id="1662926586">
                  <w:marLeft w:val="0"/>
                  <w:marRight w:val="0"/>
                  <w:marTop w:val="0"/>
                  <w:marBottom w:val="0"/>
                  <w:divBdr>
                    <w:top w:val="none" w:sz="0" w:space="0" w:color="auto"/>
                    <w:left w:val="none" w:sz="0" w:space="0" w:color="auto"/>
                    <w:bottom w:val="none" w:sz="0" w:space="0" w:color="auto"/>
                    <w:right w:val="none" w:sz="0" w:space="0" w:color="auto"/>
                  </w:divBdr>
                  <w:divsChild>
                    <w:div w:id="2129624339">
                      <w:marLeft w:val="0"/>
                      <w:marRight w:val="0"/>
                      <w:marTop w:val="0"/>
                      <w:marBottom w:val="0"/>
                      <w:divBdr>
                        <w:top w:val="none" w:sz="0" w:space="0" w:color="auto"/>
                        <w:left w:val="none" w:sz="0" w:space="0" w:color="auto"/>
                        <w:bottom w:val="none" w:sz="0" w:space="0" w:color="auto"/>
                        <w:right w:val="none" w:sz="0" w:space="0" w:color="auto"/>
                      </w:divBdr>
                    </w:div>
                  </w:divsChild>
                </w:div>
                <w:div w:id="1664504759">
                  <w:marLeft w:val="0"/>
                  <w:marRight w:val="0"/>
                  <w:marTop w:val="0"/>
                  <w:marBottom w:val="0"/>
                  <w:divBdr>
                    <w:top w:val="none" w:sz="0" w:space="0" w:color="auto"/>
                    <w:left w:val="none" w:sz="0" w:space="0" w:color="auto"/>
                    <w:bottom w:val="none" w:sz="0" w:space="0" w:color="auto"/>
                    <w:right w:val="none" w:sz="0" w:space="0" w:color="auto"/>
                  </w:divBdr>
                  <w:divsChild>
                    <w:div w:id="2093693722">
                      <w:marLeft w:val="0"/>
                      <w:marRight w:val="0"/>
                      <w:marTop w:val="0"/>
                      <w:marBottom w:val="0"/>
                      <w:divBdr>
                        <w:top w:val="none" w:sz="0" w:space="0" w:color="auto"/>
                        <w:left w:val="none" w:sz="0" w:space="0" w:color="auto"/>
                        <w:bottom w:val="none" w:sz="0" w:space="0" w:color="auto"/>
                        <w:right w:val="none" w:sz="0" w:space="0" w:color="auto"/>
                      </w:divBdr>
                    </w:div>
                  </w:divsChild>
                </w:div>
                <w:div w:id="1693721609">
                  <w:marLeft w:val="0"/>
                  <w:marRight w:val="0"/>
                  <w:marTop w:val="0"/>
                  <w:marBottom w:val="0"/>
                  <w:divBdr>
                    <w:top w:val="none" w:sz="0" w:space="0" w:color="auto"/>
                    <w:left w:val="none" w:sz="0" w:space="0" w:color="auto"/>
                    <w:bottom w:val="none" w:sz="0" w:space="0" w:color="auto"/>
                    <w:right w:val="none" w:sz="0" w:space="0" w:color="auto"/>
                  </w:divBdr>
                  <w:divsChild>
                    <w:div w:id="671875562">
                      <w:marLeft w:val="0"/>
                      <w:marRight w:val="0"/>
                      <w:marTop w:val="0"/>
                      <w:marBottom w:val="0"/>
                      <w:divBdr>
                        <w:top w:val="none" w:sz="0" w:space="0" w:color="auto"/>
                        <w:left w:val="none" w:sz="0" w:space="0" w:color="auto"/>
                        <w:bottom w:val="none" w:sz="0" w:space="0" w:color="auto"/>
                        <w:right w:val="none" w:sz="0" w:space="0" w:color="auto"/>
                      </w:divBdr>
                    </w:div>
                  </w:divsChild>
                </w:div>
                <w:div w:id="1758091966">
                  <w:marLeft w:val="0"/>
                  <w:marRight w:val="0"/>
                  <w:marTop w:val="0"/>
                  <w:marBottom w:val="0"/>
                  <w:divBdr>
                    <w:top w:val="none" w:sz="0" w:space="0" w:color="auto"/>
                    <w:left w:val="none" w:sz="0" w:space="0" w:color="auto"/>
                    <w:bottom w:val="none" w:sz="0" w:space="0" w:color="auto"/>
                    <w:right w:val="none" w:sz="0" w:space="0" w:color="auto"/>
                  </w:divBdr>
                  <w:divsChild>
                    <w:div w:id="1593010179">
                      <w:marLeft w:val="0"/>
                      <w:marRight w:val="0"/>
                      <w:marTop w:val="0"/>
                      <w:marBottom w:val="0"/>
                      <w:divBdr>
                        <w:top w:val="none" w:sz="0" w:space="0" w:color="auto"/>
                        <w:left w:val="none" w:sz="0" w:space="0" w:color="auto"/>
                        <w:bottom w:val="none" w:sz="0" w:space="0" w:color="auto"/>
                        <w:right w:val="none" w:sz="0" w:space="0" w:color="auto"/>
                      </w:divBdr>
                    </w:div>
                  </w:divsChild>
                </w:div>
                <w:div w:id="1822307922">
                  <w:marLeft w:val="0"/>
                  <w:marRight w:val="0"/>
                  <w:marTop w:val="0"/>
                  <w:marBottom w:val="0"/>
                  <w:divBdr>
                    <w:top w:val="none" w:sz="0" w:space="0" w:color="auto"/>
                    <w:left w:val="none" w:sz="0" w:space="0" w:color="auto"/>
                    <w:bottom w:val="none" w:sz="0" w:space="0" w:color="auto"/>
                    <w:right w:val="none" w:sz="0" w:space="0" w:color="auto"/>
                  </w:divBdr>
                  <w:divsChild>
                    <w:div w:id="1236814492">
                      <w:marLeft w:val="0"/>
                      <w:marRight w:val="0"/>
                      <w:marTop w:val="0"/>
                      <w:marBottom w:val="0"/>
                      <w:divBdr>
                        <w:top w:val="none" w:sz="0" w:space="0" w:color="auto"/>
                        <w:left w:val="none" w:sz="0" w:space="0" w:color="auto"/>
                        <w:bottom w:val="none" w:sz="0" w:space="0" w:color="auto"/>
                        <w:right w:val="none" w:sz="0" w:space="0" w:color="auto"/>
                      </w:divBdr>
                    </w:div>
                  </w:divsChild>
                </w:div>
                <w:div w:id="1832258016">
                  <w:marLeft w:val="0"/>
                  <w:marRight w:val="0"/>
                  <w:marTop w:val="0"/>
                  <w:marBottom w:val="0"/>
                  <w:divBdr>
                    <w:top w:val="none" w:sz="0" w:space="0" w:color="auto"/>
                    <w:left w:val="none" w:sz="0" w:space="0" w:color="auto"/>
                    <w:bottom w:val="none" w:sz="0" w:space="0" w:color="auto"/>
                    <w:right w:val="none" w:sz="0" w:space="0" w:color="auto"/>
                  </w:divBdr>
                  <w:divsChild>
                    <w:div w:id="327641211">
                      <w:marLeft w:val="0"/>
                      <w:marRight w:val="0"/>
                      <w:marTop w:val="0"/>
                      <w:marBottom w:val="0"/>
                      <w:divBdr>
                        <w:top w:val="none" w:sz="0" w:space="0" w:color="auto"/>
                        <w:left w:val="none" w:sz="0" w:space="0" w:color="auto"/>
                        <w:bottom w:val="none" w:sz="0" w:space="0" w:color="auto"/>
                        <w:right w:val="none" w:sz="0" w:space="0" w:color="auto"/>
                      </w:divBdr>
                    </w:div>
                  </w:divsChild>
                </w:div>
                <w:div w:id="1873881733">
                  <w:marLeft w:val="0"/>
                  <w:marRight w:val="0"/>
                  <w:marTop w:val="0"/>
                  <w:marBottom w:val="0"/>
                  <w:divBdr>
                    <w:top w:val="none" w:sz="0" w:space="0" w:color="auto"/>
                    <w:left w:val="none" w:sz="0" w:space="0" w:color="auto"/>
                    <w:bottom w:val="none" w:sz="0" w:space="0" w:color="auto"/>
                    <w:right w:val="none" w:sz="0" w:space="0" w:color="auto"/>
                  </w:divBdr>
                  <w:divsChild>
                    <w:div w:id="1603876674">
                      <w:marLeft w:val="0"/>
                      <w:marRight w:val="0"/>
                      <w:marTop w:val="0"/>
                      <w:marBottom w:val="0"/>
                      <w:divBdr>
                        <w:top w:val="none" w:sz="0" w:space="0" w:color="auto"/>
                        <w:left w:val="none" w:sz="0" w:space="0" w:color="auto"/>
                        <w:bottom w:val="none" w:sz="0" w:space="0" w:color="auto"/>
                        <w:right w:val="none" w:sz="0" w:space="0" w:color="auto"/>
                      </w:divBdr>
                    </w:div>
                  </w:divsChild>
                </w:div>
                <w:div w:id="1896500305">
                  <w:marLeft w:val="0"/>
                  <w:marRight w:val="0"/>
                  <w:marTop w:val="0"/>
                  <w:marBottom w:val="0"/>
                  <w:divBdr>
                    <w:top w:val="none" w:sz="0" w:space="0" w:color="auto"/>
                    <w:left w:val="none" w:sz="0" w:space="0" w:color="auto"/>
                    <w:bottom w:val="none" w:sz="0" w:space="0" w:color="auto"/>
                    <w:right w:val="none" w:sz="0" w:space="0" w:color="auto"/>
                  </w:divBdr>
                  <w:divsChild>
                    <w:div w:id="571162248">
                      <w:marLeft w:val="0"/>
                      <w:marRight w:val="0"/>
                      <w:marTop w:val="0"/>
                      <w:marBottom w:val="0"/>
                      <w:divBdr>
                        <w:top w:val="none" w:sz="0" w:space="0" w:color="auto"/>
                        <w:left w:val="none" w:sz="0" w:space="0" w:color="auto"/>
                        <w:bottom w:val="none" w:sz="0" w:space="0" w:color="auto"/>
                        <w:right w:val="none" w:sz="0" w:space="0" w:color="auto"/>
                      </w:divBdr>
                    </w:div>
                  </w:divsChild>
                </w:div>
                <w:div w:id="1932354241">
                  <w:marLeft w:val="0"/>
                  <w:marRight w:val="0"/>
                  <w:marTop w:val="0"/>
                  <w:marBottom w:val="0"/>
                  <w:divBdr>
                    <w:top w:val="none" w:sz="0" w:space="0" w:color="auto"/>
                    <w:left w:val="none" w:sz="0" w:space="0" w:color="auto"/>
                    <w:bottom w:val="none" w:sz="0" w:space="0" w:color="auto"/>
                    <w:right w:val="none" w:sz="0" w:space="0" w:color="auto"/>
                  </w:divBdr>
                  <w:divsChild>
                    <w:div w:id="738357988">
                      <w:marLeft w:val="0"/>
                      <w:marRight w:val="0"/>
                      <w:marTop w:val="0"/>
                      <w:marBottom w:val="0"/>
                      <w:divBdr>
                        <w:top w:val="none" w:sz="0" w:space="0" w:color="auto"/>
                        <w:left w:val="none" w:sz="0" w:space="0" w:color="auto"/>
                        <w:bottom w:val="none" w:sz="0" w:space="0" w:color="auto"/>
                        <w:right w:val="none" w:sz="0" w:space="0" w:color="auto"/>
                      </w:divBdr>
                    </w:div>
                    <w:div w:id="1196575235">
                      <w:marLeft w:val="0"/>
                      <w:marRight w:val="0"/>
                      <w:marTop w:val="0"/>
                      <w:marBottom w:val="0"/>
                      <w:divBdr>
                        <w:top w:val="none" w:sz="0" w:space="0" w:color="auto"/>
                        <w:left w:val="none" w:sz="0" w:space="0" w:color="auto"/>
                        <w:bottom w:val="none" w:sz="0" w:space="0" w:color="auto"/>
                        <w:right w:val="none" w:sz="0" w:space="0" w:color="auto"/>
                      </w:divBdr>
                    </w:div>
                    <w:div w:id="1715235738">
                      <w:marLeft w:val="0"/>
                      <w:marRight w:val="0"/>
                      <w:marTop w:val="0"/>
                      <w:marBottom w:val="0"/>
                      <w:divBdr>
                        <w:top w:val="none" w:sz="0" w:space="0" w:color="auto"/>
                        <w:left w:val="none" w:sz="0" w:space="0" w:color="auto"/>
                        <w:bottom w:val="none" w:sz="0" w:space="0" w:color="auto"/>
                        <w:right w:val="none" w:sz="0" w:space="0" w:color="auto"/>
                      </w:divBdr>
                    </w:div>
                    <w:div w:id="2115008874">
                      <w:marLeft w:val="0"/>
                      <w:marRight w:val="0"/>
                      <w:marTop w:val="0"/>
                      <w:marBottom w:val="0"/>
                      <w:divBdr>
                        <w:top w:val="none" w:sz="0" w:space="0" w:color="auto"/>
                        <w:left w:val="none" w:sz="0" w:space="0" w:color="auto"/>
                        <w:bottom w:val="none" w:sz="0" w:space="0" w:color="auto"/>
                        <w:right w:val="none" w:sz="0" w:space="0" w:color="auto"/>
                      </w:divBdr>
                    </w:div>
                  </w:divsChild>
                </w:div>
                <w:div w:id="1972830697">
                  <w:marLeft w:val="0"/>
                  <w:marRight w:val="0"/>
                  <w:marTop w:val="0"/>
                  <w:marBottom w:val="0"/>
                  <w:divBdr>
                    <w:top w:val="none" w:sz="0" w:space="0" w:color="auto"/>
                    <w:left w:val="none" w:sz="0" w:space="0" w:color="auto"/>
                    <w:bottom w:val="none" w:sz="0" w:space="0" w:color="auto"/>
                    <w:right w:val="none" w:sz="0" w:space="0" w:color="auto"/>
                  </w:divBdr>
                  <w:divsChild>
                    <w:div w:id="1625575162">
                      <w:marLeft w:val="0"/>
                      <w:marRight w:val="0"/>
                      <w:marTop w:val="0"/>
                      <w:marBottom w:val="0"/>
                      <w:divBdr>
                        <w:top w:val="none" w:sz="0" w:space="0" w:color="auto"/>
                        <w:left w:val="none" w:sz="0" w:space="0" w:color="auto"/>
                        <w:bottom w:val="none" w:sz="0" w:space="0" w:color="auto"/>
                        <w:right w:val="none" w:sz="0" w:space="0" w:color="auto"/>
                      </w:divBdr>
                    </w:div>
                  </w:divsChild>
                </w:div>
                <w:div w:id="2029719676">
                  <w:marLeft w:val="0"/>
                  <w:marRight w:val="0"/>
                  <w:marTop w:val="0"/>
                  <w:marBottom w:val="0"/>
                  <w:divBdr>
                    <w:top w:val="none" w:sz="0" w:space="0" w:color="auto"/>
                    <w:left w:val="none" w:sz="0" w:space="0" w:color="auto"/>
                    <w:bottom w:val="none" w:sz="0" w:space="0" w:color="auto"/>
                    <w:right w:val="none" w:sz="0" w:space="0" w:color="auto"/>
                  </w:divBdr>
                  <w:divsChild>
                    <w:div w:id="926377621">
                      <w:marLeft w:val="0"/>
                      <w:marRight w:val="0"/>
                      <w:marTop w:val="0"/>
                      <w:marBottom w:val="0"/>
                      <w:divBdr>
                        <w:top w:val="none" w:sz="0" w:space="0" w:color="auto"/>
                        <w:left w:val="none" w:sz="0" w:space="0" w:color="auto"/>
                        <w:bottom w:val="none" w:sz="0" w:space="0" w:color="auto"/>
                        <w:right w:val="none" w:sz="0" w:space="0" w:color="auto"/>
                      </w:divBdr>
                    </w:div>
                  </w:divsChild>
                </w:div>
                <w:div w:id="2062823467">
                  <w:marLeft w:val="0"/>
                  <w:marRight w:val="0"/>
                  <w:marTop w:val="0"/>
                  <w:marBottom w:val="0"/>
                  <w:divBdr>
                    <w:top w:val="none" w:sz="0" w:space="0" w:color="auto"/>
                    <w:left w:val="none" w:sz="0" w:space="0" w:color="auto"/>
                    <w:bottom w:val="none" w:sz="0" w:space="0" w:color="auto"/>
                    <w:right w:val="none" w:sz="0" w:space="0" w:color="auto"/>
                  </w:divBdr>
                  <w:divsChild>
                    <w:div w:id="1435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3787">
          <w:marLeft w:val="0"/>
          <w:marRight w:val="0"/>
          <w:marTop w:val="0"/>
          <w:marBottom w:val="0"/>
          <w:divBdr>
            <w:top w:val="none" w:sz="0" w:space="0" w:color="auto"/>
            <w:left w:val="none" w:sz="0" w:space="0" w:color="auto"/>
            <w:bottom w:val="none" w:sz="0" w:space="0" w:color="auto"/>
            <w:right w:val="none" w:sz="0" w:space="0" w:color="auto"/>
          </w:divBdr>
        </w:div>
        <w:div w:id="1441413797">
          <w:marLeft w:val="0"/>
          <w:marRight w:val="0"/>
          <w:marTop w:val="0"/>
          <w:marBottom w:val="0"/>
          <w:divBdr>
            <w:top w:val="none" w:sz="0" w:space="0" w:color="auto"/>
            <w:left w:val="none" w:sz="0" w:space="0" w:color="auto"/>
            <w:bottom w:val="none" w:sz="0" w:space="0" w:color="auto"/>
            <w:right w:val="none" w:sz="0" w:space="0" w:color="auto"/>
          </w:divBdr>
        </w:div>
      </w:divsChild>
    </w:div>
    <w:div w:id="1798140998">
      <w:bodyDiv w:val="1"/>
      <w:marLeft w:val="0"/>
      <w:marRight w:val="0"/>
      <w:marTop w:val="0"/>
      <w:marBottom w:val="0"/>
      <w:divBdr>
        <w:top w:val="none" w:sz="0" w:space="0" w:color="auto"/>
        <w:left w:val="none" w:sz="0" w:space="0" w:color="auto"/>
        <w:bottom w:val="none" w:sz="0" w:space="0" w:color="auto"/>
        <w:right w:val="none" w:sz="0" w:space="0" w:color="auto"/>
      </w:divBdr>
    </w:div>
    <w:div w:id="1958171424">
      <w:bodyDiv w:val="1"/>
      <w:marLeft w:val="0"/>
      <w:marRight w:val="0"/>
      <w:marTop w:val="0"/>
      <w:marBottom w:val="0"/>
      <w:divBdr>
        <w:top w:val="none" w:sz="0" w:space="0" w:color="auto"/>
        <w:left w:val="none" w:sz="0" w:space="0" w:color="auto"/>
        <w:bottom w:val="none" w:sz="0" w:space="0" w:color="auto"/>
        <w:right w:val="none" w:sz="0" w:space="0" w:color="auto"/>
      </w:divBdr>
    </w:div>
    <w:div w:id="1986427280">
      <w:bodyDiv w:val="1"/>
      <w:marLeft w:val="0"/>
      <w:marRight w:val="0"/>
      <w:marTop w:val="0"/>
      <w:marBottom w:val="0"/>
      <w:divBdr>
        <w:top w:val="none" w:sz="0" w:space="0" w:color="auto"/>
        <w:left w:val="none" w:sz="0" w:space="0" w:color="auto"/>
        <w:bottom w:val="none" w:sz="0" w:space="0" w:color="auto"/>
        <w:right w:val="none" w:sz="0" w:space="0" w:color="auto"/>
      </w:divBdr>
    </w:div>
    <w:div w:id="2044624705">
      <w:bodyDiv w:val="1"/>
      <w:marLeft w:val="0"/>
      <w:marRight w:val="0"/>
      <w:marTop w:val="0"/>
      <w:marBottom w:val="0"/>
      <w:divBdr>
        <w:top w:val="none" w:sz="0" w:space="0" w:color="auto"/>
        <w:left w:val="none" w:sz="0" w:space="0" w:color="auto"/>
        <w:bottom w:val="none" w:sz="0" w:space="0" w:color="auto"/>
        <w:right w:val="none" w:sz="0" w:space="0" w:color="auto"/>
      </w:divBdr>
      <w:divsChild>
        <w:div w:id="281232298">
          <w:marLeft w:val="0"/>
          <w:marRight w:val="0"/>
          <w:marTop w:val="0"/>
          <w:marBottom w:val="0"/>
          <w:divBdr>
            <w:top w:val="none" w:sz="0" w:space="0" w:color="auto"/>
            <w:left w:val="none" w:sz="0" w:space="0" w:color="auto"/>
            <w:bottom w:val="none" w:sz="0" w:space="0" w:color="auto"/>
            <w:right w:val="none" w:sz="0" w:space="0" w:color="auto"/>
          </w:divBdr>
        </w:div>
        <w:div w:id="902104075">
          <w:marLeft w:val="0"/>
          <w:marRight w:val="0"/>
          <w:marTop w:val="0"/>
          <w:marBottom w:val="0"/>
          <w:divBdr>
            <w:top w:val="none" w:sz="0" w:space="0" w:color="auto"/>
            <w:left w:val="none" w:sz="0" w:space="0" w:color="auto"/>
            <w:bottom w:val="none" w:sz="0" w:space="0" w:color="auto"/>
            <w:right w:val="none" w:sz="0" w:space="0" w:color="auto"/>
          </w:divBdr>
        </w:div>
        <w:div w:id="1477063158">
          <w:marLeft w:val="0"/>
          <w:marRight w:val="0"/>
          <w:marTop w:val="0"/>
          <w:marBottom w:val="0"/>
          <w:divBdr>
            <w:top w:val="none" w:sz="0" w:space="0" w:color="auto"/>
            <w:left w:val="none" w:sz="0" w:space="0" w:color="auto"/>
            <w:bottom w:val="none" w:sz="0" w:space="0" w:color="auto"/>
            <w:right w:val="none" w:sz="0" w:space="0" w:color="auto"/>
          </w:divBdr>
        </w:div>
        <w:div w:id="1812215452">
          <w:marLeft w:val="0"/>
          <w:marRight w:val="0"/>
          <w:marTop w:val="0"/>
          <w:marBottom w:val="0"/>
          <w:divBdr>
            <w:top w:val="none" w:sz="0" w:space="0" w:color="auto"/>
            <w:left w:val="none" w:sz="0" w:space="0" w:color="auto"/>
            <w:bottom w:val="none" w:sz="0" w:space="0" w:color="auto"/>
            <w:right w:val="none" w:sz="0" w:space="0" w:color="auto"/>
          </w:divBdr>
          <w:divsChild>
            <w:div w:id="1056900066">
              <w:marLeft w:val="-75"/>
              <w:marRight w:val="0"/>
              <w:marTop w:val="30"/>
              <w:marBottom w:val="30"/>
              <w:divBdr>
                <w:top w:val="none" w:sz="0" w:space="0" w:color="auto"/>
                <w:left w:val="none" w:sz="0" w:space="0" w:color="auto"/>
                <w:bottom w:val="none" w:sz="0" w:space="0" w:color="auto"/>
                <w:right w:val="none" w:sz="0" w:space="0" w:color="auto"/>
              </w:divBdr>
              <w:divsChild>
                <w:div w:id="14617626">
                  <w:marLeft w:val="0"/>
                  <w:marRight w:val="0"/>
                  <w:marTop w:val="0"/>
                  <w:marBottom w:val="0"/>
                  <w:divBdr>
                    <w:top w:val="none" w:sz="0" w:space="0" w:color="auto"/>
                    <w:left w:val="none" w:sz="0" w:space="0" w:color="auto"/>
                    <w:bottom w:val="none" w:sz="0" w:space="0" w:color="auto"/>
                    <w:right w:val="none" w:sz="0" w:space="0" w:color="auto"/>
                  </w:divBdr>
                  <w:divsChild>
                    <w:div w:id="1805343066">
                      <w:marLeft w:val="0"/>
                      <w:marRight w:val="0"/>
                      <w:marTop w:val="0"/>
                      <w:marBottom w:val="0"/>
                      <w:divBdr>
                        <w:top w:val="none" w:sz="0" w:space="0" w:color="auto"/>
                        <w:left w:val="none" w:sz="0" w:space="0" w:color="auto"/>
                        <w:bottom w:val="none" w:sz="0" w:space="0" w:color="auto"/>
                        <w:right w:val="none" w:sz="0" w:space="0" w:color="auto"/>
                      </w:divBdr>
                    </w:div>
                  </w:divsChild>
                </w:div>
                <w:div w:id="30107830">
                  <w:marLeft w:val="0"/>
                  <w:marRight w:val="0"/>
                  <w:marTop w:val="0"/>
                  <w:marBottom w:val="0"/>
                  <w:divBdr>
                    <w:top w:val="none" w:sz="0" w:space="0" w:color="auto"/>
                    <w:left w:val="none" w:sz="0" w:space="0" w:color="auto"/>
                    <w:bottom w:val="none" w:sz="0" w:space="0" w:color="auto"/>
                    <w:right w:val="none" w:sz="0" w:space="0" w:color="auto"/>
                  </w:divBdr>
                  <w:divsChild>
                    <w:div w:id="821890883">
                      <w:marLeft w:val="0"/>
                      <w:marRight w:val="0"/>
                      <w:marTop w:val="0"/>
                      <w:marBottom w:val="0"/>
                      <w:divBdr>
                        <w:top w:val="none" w:sz="0" w:space="0" w:color="auto"/>
                        <w:left w:val="none" w:sz="0" w:space="0" w:color="auto"/>
                        <w:bottom w:val="none" w:sz="0" w:space="0" w:color="auto"/>
                        <w:right w:val="none" w:sz="0" w:space="0" w:color="auto"/>
                      </w:divBdr>
                    </w:div>
                  </w:divsChild>
                </w:div>
                <w:div w:id="33964312">
                  <w:marLeft w:val="0"/>
                  <w:marRight w:val="0"/>
                  <w:marTop w:val="0"/>
                  <w:marBottom w:val="0"/>
                  <w:divBdr>
                    <w:top w:val="none" w:sz="0" w:space="0" w:color="auto"/>
                    <w:left w:val="none" w:sz="0" w:space="0" w:color="auto"/>
                    <w:bottom w:val="none" w:sz="0" w:space="0" w:color="auto"/>
                    <w:right w:val="none" w:sz="0" w:space="0" w:color="auto"/>
                  </w:divBdr>
                  <w:divsChild>
                    <w:div w:id="54553557">
                      <w:marLeft w:val="0"/>
                      <w:marRight w:val="0"/>
                      <w:marTop w:val="0"/>
                      <w:marBottom w:val="0"/>
                      <w:divBdr>
                        <w:top w:val="none" w:sz="0" w:space="0" w:color="auto"/>
                        <w:left w:val="none" w:sz="0" w:space="0" w:color="auto"/>
                        <w:bottom w:val="none" w:sz="0" w:space="0" w:color="auto"/>
                        <w:right w:val="none" w:sz="0" w:space="0" w:color="auto"/>
                      </w:divBdr>
                    </w:div>
                  </w:divsChild>
                </w:div>
                <w:div w:id="168833075">
                  <w:marLeft w:val="0"/>
                  <w:marRight w:val="0"/>
                  <w:marTop w:val="0"/>
                  <w:marBottom w:val="0"/>
                  <w:divBdr>
                    <w:top w:val="none" w:sz="0" w:space="0" w:color="auto"/>
                    <w:left w:val="none" w:sz="0" w:space="0" w:color="auto"/>
                    <w:bottom w:val="none" w:sz="0" w:space="0" w:color="auto"/>
                    <w:right w:val="none" w:sz="0" w:space="0" w:color="auto"/>
                  </w:divBdr>
                  <w:divsChild>
                    <w:div w:id="1787121289">
                      <w:marLeft w:val="0"/>
                      <w:marRight w:val="0"/>
                      <w:marTop w:val="0"/>
                      <w:marBottom w:val="0"/>
                      <w:divBdr>
                        <w:top w:val="none" w:sz="0" w:space="0" w:color="auto"/>
                        <w:left w:val="none" w:sz="0" w:space="0" w:color="auto"/>
                        <w:bottom w:val="none" w:sz="0" w:space="0" w:color="auto"/>
                        <w:right w:val="none" w:sz="0" w:space="0" w:color="auto"/>
                      </w:divBdr>
                    </w:div>
                  </w:divsChild>
                </w:div>
                <w:div w:id="178743670">
                  <w:marLeft w:val="0"/>
                  <w:marRight w:val="0"/>
                  <w:marTop w:val="0"/>
                  <w:marBottom w:val="0"/>
                  <w:divBdr>
                    <w:top w:val="none" w:sz="0" w:space="0" w:color="auto"/>
                    <w:left w:val="none" w:sz="0" w:space="0" w:color="auto"/>
                    <w:bottom w:val="none" w:sz="0" w:space="0" w:color="auto"/>
                    <w:right w:val="none" w:sz="0" w:space="0" w:color="auto"/>
                  </w:divBdr>
                  <w:divsChild>
                    <w:div w:id="1292785110">
                      <w:marLeft w:val="0"/>
                      <w:marRight w:val="0"/>
                      <w:marTop w:val="0"/>
                      <w:marBottom w:val="0"/>
                      <w:divBdr>
                        <w:top w:val="none" w:sz="0" w:space="0" w:color="auto"/>
                        <w:left w:val="none" w:sz="0" w:space="0" w:color="auto"/>
                        <w:bottom w:val="none" w:sz="0" w:space="0" w:color="auto"/>
                        <w:right w:val="none" w:sz="0" w:space="0" w:color="auto"/>
                      </w:divBdr>
                    </w:div>
                  </w:divsChild>
                </w:div>
                <w:div w:id="207912865">
                  <w:marLeft w:val="0"/>
                  <w:marRight w:val="0"/>
                  <w:marTop w:val="0"/>
                  <w:marBottom w:val="0"/>
                  <w:divBdr>
                    <w:top w:val="none" w:sz="0" w:space="0" w:color="auto"/>
                    <w:left w:val="none" w:sz="0" w:space="0" w:color="auto"/>
                    <w:bottom w:val="none" w:sz="0" w:space="0" w:color="auto"/>
                    <w:right w:val="none" w:sz="0" w:space="0" w:color="auto"/>
                  </w:divBdr>
                  <w:divsChild>
                    <w:div w:id="944117552">
                      <w:marLeft w:val="0"/>
                      <w:marRight w:val="0"/>
                      <w:marTop w:val="0"/>
                      <w:marBottom w:val="0"/>
                      <w:divBdr>
                        <w:top w:val="none" w:sz="0" w:space="0" w:color="auto"/>
                        <w:left w:val="none" w:sz="0" w:space="0" w:color="auto"/>
                        <w:bottom w:val="none" w:sz="0" w:space="0" w:color="auto"/>
                        <w:right w:val="none" w:sz="0" w:space="0" w:color="auto"/>
                      </w:divBdr>
                    </w:div>
                  </w:divsChild>
                </w:div>
                <w:div w:id="250818200">
                  <w:marLeft w:val="0"/>
                  <w:marRight w:val="0"/>
                  <w:marTop w:val="0"/>
                  <w:marBottom w:val="0"/>
                  <w:divBdr>
                    <w:top w:val="none" w:sz="0" w:space="0" w:color="auto"/>
                    <w:left w:val="none" w:sz="0" w:space="0" w:color="auto"/>
                    <w:bottom w:val="none" w:sz="0" w:space="0" w:color="auto"/>
                    <w:right w:val="none" w:sz="0" w:space="0" w:color="auto"/>
                  </w:divBdr>
                  <w:divsChild>
                    <w:div w:id="859047410">
                      <w:marLeft w:val="0"/>
                      <w:marRight w:val="0"/>
                      <w:marTop w:val="0"/>
                      <w:marBottom w:val="0"/>
                      <w:divBdr>
                        <w:top w:val="none" w:sz="0" w:space="0" w:color="auto"/>
                        <w:left w:val="none" w:sz="0" w:space="0" w:color="auto"/>
                        <w:bottom w:val="none" w:sz="0" w:space="0" w:color="auto"/>
                        <w:right w:val="none" w:sz="0" w:space="0" w:color="auto"/>
                      </w:divBdr>
                    </w:div>
                  </w:divsChild>
                </w:div>
                <w:div w:id="292256316">
                  <w:marLeft w:val="0"/>
                  <w:marRight w:val="0"/>
                  <w:marTop w:val="0"/>
                  <w:marBottom w:val="0"/>
                  <w:divBdr>
                    <w:top w:val="none" w:sz="0" w:space="0" w:color="auto"/>
                    <w:left w:val="none" w:sz="0" w:space="0" w:color="auto"/>
                    <w:bottom w:val="none" w:sz="0" w:space="0" w:color="auto"/>
                    <w:right w:val="none" w:sz="0" w:space="0" w:color="auto"/>
                  </w:divBdr>
                  <w:divsChild>
                    <w:div w:id="454371151">
                      <w:marLeft w:val="0"/>
                      <w:marRight w:val="0"/>
                      <w:marTop w:val="0"/>
                      <w:marBottom w:val="0"/>
                      <w:divBdr>
                        <w:top w:val="none" w:sz="0" w:space="0" w:color="auto"/>
                        <w:left w:val="none" w:sz="0" w:space="0" w:color="auto"/>
                        <w:bottom w:val="none" w:sz="0" w:space="0" w:color="auto"/>
                        <w:right w:val="none" w:sz="0" w:space="0" w:color="auto"/>
                      </w:divBdr>
                    </w:div>
                  </w:divsChild>
                </w:div>
                <w:div w:id="304555811">
                  <w:marLeft w:val="0"/>
                  <w:marRight w:val="0"/>
                  <w:marTop w:val="0"/>
                  <w:marBottom w:val="0"/>
                  <w:divBdr>
                    <w:top w:val="none" w:sz="0" w:space="0" w:color="auto"/>
                    <w:left w:val="none" w:sz="0" w:space="0" w:color="auto"/>
                    <w:bottom w:val="none" w:sz="0" w:space="0" w:color="auto"/>
                    <w:right w:val="none" w:sz="0" w:space="0" w:color="auto"/>
                  </w:divBdr>
                  <w:divsChild>
                    <w:div w:id="362942512">
                      <w:marLeft w:val="0"/>
                      <w:marRight w:val="0"/>
                      <w:marTop w:val="0"/>
                      <w:marBottom w:val="0"/>
                      <w:divBdr>
                        <w:top w:val="none" w:sz="0" w:space="0" w:color="auto"/>
                        <w:left w:val="none" w:sz="0" w:space="0" w:color="auto"/>
                        <w:bottom w:val="none" w:sz="0" w:space="0" w:color="auto"/>
                        <w:right w:val="none" w:sz="0" w:space="0" w:color="auto"/>
                      </w:divBdr>
                    </w:div>
                  </w:divsChild>
                </w:div>
                <w:div w:id="382288341">
                  <w:marLeft w:val="0"/>
                  <w:marRight w:val="0"/>
                  <w:marTop w:val="0"/>
                  <w:marBottom w:val="0"/>
                  <w:divBdr>
                    <w:top w:val="none" w:sz="0" w:space="0" w:color="auto"/>
                    <w:left w:val="none" w:sz="0" w:space="0" w:color="auto"/>
                    <w:bottom w:val="none" w:sz="0" w:space="0" w:color="auto"/>
                    <w:right w:val="none" w:sz="0" w:space="0" w:color="auto"/>
                  </w:divBdr>
                  <w:divsChild>
                    <w:div w:id="243806115">
                      <w:marLeft w:val="0"/>
                      <w:marRight w:val="0"/>
                      <w:marTop w:val="0"/>
                      <w:marBottom w:val="0"/>
                      <w:divBdr>
                        <w:top w:val="none" w:sz="0" w:space="0" w:color="auto"/>
                        <w:left w:val="none" w:sz="0" w:space="0" w:color="auto"/>
                        <w:bottom w:val="none" w:sz="0" w:space="0" w:color="auto"/>
                        <w:right w:val="none" w:sz="0" w:space="0" w:color="auto"/>
                      </w:divBdr>
                    </w:div>
                  </w:divsChild>
                </w:div>
                <w:div w:id="413094552">
                  <w:marLeft w:val="0"/>
                  <w:marRight w:val="0"/>
                  <w:marTop w:val="0"/>
                  <w:marBottom w:val="0"/>
                  <w:divBdr>
                    <w:top w:val="none" w:sz="0" w:space="0" w:color="auto"/>
                    <w:left w:val="none" w:sz="0" w:space="0" w:color="auto"/>
                    <w:bottom w:val="none" w:sz="0" w:space="0" w:color="auto"/>
                    <w:right w:val="none" w:sz="0" w:space="0" w:color="auto"/>
                  </w:divBdr>
                  <w:divsChild>
                    <w:div w:id="641076782">
                      <w:marLeft w:val="0"/>
                      <w:marRight w:val="0"/>
                      <w:marTop w:val="0"/>
                      <w:marBottom w:val="0"/>
                      <w:divBdr>
                        <w:top w:val="none" w:sz="0" w:space="0" w:color="auto"/>
                        <w:left w:val="none" w:sz="0" w:space="0" w:color="auto"/>
                        <w:bottom w:val="none" w:sz="0" w:space="0" w:color="auto"/>
                        <w:right w:val="none" w:sz="0" w:space="0" w:color="auto"/>
                      </w:divBdr>
                    </w:div>
                  </w:divsChild>
                </w:div>
                <w:div w:id="426464791">
                  <w:marLeft w:val="0"/>
                  <w:marRight w:val="0"/>
                  <w:marTop w:val="0"/>
                  <w:marBottom w:val="0"/>
                  <w:divBdr>
                    <w:top w:val="none" w:sz="0" w:space="0" w:color="auto"/>
                    <w:left w:val="none" w:sz="0" w:space="0" w:color="auto"/>
                    <w:bottom w:val="none" w:sz="0" w:space="0" w:color="auto"/>
                    <w:right w:val="none" w:sz="0" w:space="0" w:color="auto"/>
                  </w:divBdr>
                  <w:divsChild>
                    <w:div w:id="1812358549">
                      <w:marLeft w:val="0"/>
                      <w:marRight w:val="0"/>
                      <w:marTop w:val="0"/>
                      <w:marBottom w:val="0"/>
                      <w:divBdr>
                        <w:top w:val="none" w:sz="0" w:space="0" w:color="auto"/>
                        <w:left w:val="none" w:sz="0" w:space="0" w:color="auto"/>
                        <w:bottom w:val="none" w:sz="0" w:space="0" w:color="auto"/>
                        <w:right w:val="none" w:sz="0" w:space="0" w:color="auto"/>
                      </w:divBdr>
                    </w:div>
                  </w:divsChild>
                </w:div>
                <w:div w:id="448934793">
                  <w:marLeft w:val="0"/>
                  <w:marRight w:val="0"/>
                  <w:marTop w:val="0"/>
                  <w:marBottom w:val="0"/>
                  <w:divBdr>
                    <w:top w:val="none" w:sz="0" w:space="0" w:color="auto"/>
                    <w:left w:val="none" w:sz="0" w:space="0" w:color="auto"/>
                    <w:bottom w:val="none" w:sz="0" w:space="0" w:color="auto"/>
                    <w:right w:val="none" w:sz="0" w:space="0" w:color="auto"/>
                  </w:divBdr>
                  <w:divsChild>
                    <w:div w:id="296954345">
                      <w:marLeft w:val="0"/>
                      <w:marRight w:val="0"/>
                      <w:marTop w:val="0"/>
                      <w:marBottom w:val="0"/>
                      <w:divBdr>
                        <w:top w:val="none" w:sz="0" w:space="0" w:color="auto"/>
                        <w:left w:val="none" w:sz="0" w:space="0" w:color="auto"/>
                        <w:bottom w:val="none" w:sz="0" w:space="0" w:color="auto"/>
                        <w:right w:val="none" w:sz="0" w:space="0" w:color="auto"/>
                      </w:divBdr>
                    </w:div>
                    <w:div w:id="641472057">
                      <w:marLeft w:val="0"/>
                      <w:marRight w:val="0"/>
                      <w:marTop w:val="0"/>
                      <w:marBottom w:val="0"/>
                      <w:divBdr>
                        <w:top w:val="none" w:sz="0" w:space="0" w:color="auto"/>
                        <w:left w:val="none" w:sz="0" w:space="0" w:color="auto"/>
                        <w:bottom w:val="none" w:sz="0" w:space="0" w:color="auto"/>
                        <w:right w:val="none" w:sz="0" w:space="0" w:color="auto"/>
                      </w:divBdr>
                    </w:div>
                    <w:div w:id="938949517">
                      <w:marLeft w:val="0"/>
                      <w:marRight w:val="0"/>
                      <w:marTop w:val="0"/>
                      <w:marBottom w:val="0"/>
                      <w:divBdr>
                        <w:top w:val="none" w:sz="0" w:space="0" w:color="auto"/>
                        <w:left w:val="none" w:sz="0" w:space="0" w:color="auto"/>
                        <w:bottom w:val="none" w:sz="0" w:space="0" w:color="auto"/>
                        <w:right w:val="none" w:sz="0" w:space="0" w:color="auto"/>
                      </w:divBdr>
                    </w:div>
                    <w:div w:id="1952201537">
                      <w:marLeft w:val="0"/>
                      <w:marRight w:val="0"/>
                      <w:marTop w:val="0"/>
                      <w:marBottom w:val="0"/>
                      <w:divBdr>
                        <w:top w:val="none" w:sz="0" w:space="0" w:color="auto"/>
                        <w:left w:val="none" w:sz="0" w:space="0" w:color="auto"/>
                        <w:bottom w:val="none" w:sz="0" w:space="0" w:color="auto"/>
                        <w:right w:val="none" w:sz="0" w:space="0" w:color="auto"/>
                      </w:divBdr>
                    </w:div>
                  </w:divsChild>
                </w:div>
                <w:div w:id="507140628">
                  <w:marLeft w:val="0"/>
                  <w:marRight w:val="0"/>
                  <w:marTop w:val="0"/>
                  <w:marBottom w:val="0"/>
                  <w:divBdr>
                    <w:top w:val="none" w:sz="0" w:space="0" w:color="auto"/>
                    <w:left w:val="none" w:sz="0" w:space="0" w:color="auto"/>
                    <w:bottom w:val="none" w:sz="0" w:space="0" w:color="auto"/>
                    <w:right w:val="none" w:sz="0" w:space="0" w:color="auto"/>
                  </w:divBdr>
                  <w:divsChild>
                    <w:div w:id="1239943182">
                      <w:marLeft w:val="0"/>
                      <w:marRight w:val="0"/>
                      <w:marTop w:val="0"/>
                      <w:marBottom w:val="0"/>
                      <w:divBdr>
                        <w:top w:val="none" w:sz="0" w:space="0" w:color="auto"/>
                        <w:left w:val="none" w:sz="0" w:space="0" w:color="auto"/>
                        <w:bottom w:val="none" w:sz="0" w:space="0" w:color="auto"/>
                        <w:right w:val="none" w:sz="0" w:space="0" w:color="auto"/>
                      </w:divBdr>
                    </w:div>
                  </w:divsChild>
                </w:div>
                <w:div w:id="509636058">
                  <w:marLeft w:val="0"/>
                  <w:marRight w:val="0"/>
                  <w:marTop w:val="0"/>
                  <w:marBottom w:val="0"/>
                  <w:divBdr>
                    <w:top w:val="none" w:sz="0" w:space="0" w:color="auto"/>
                    <w:left w:val="none" w:sz="0" w:space="0" w:color="auto"/>
                    <w:bottom w:val="none" w:sz="0" w:space="0" w:color="auto"/>
                    <w:right w:val="none" w:sz="0" w:space="0" w:color="auto"/>
                  </w:divBdr>
                  <w:divsChild>
                    <w:div w:id="783889582">
                      <w:marLeft w:val="0"/>
                      <w:marRight w:val="0"/>
                      <w:marTop w:val="0"/>
                      <w:marBottom w:val="0"/>
                      <w:divBdr>
                        <w:top w:val="none" w:sz="0" w:space="0" w:color="auto"/>
                        <w:left w:val="none" w:sz="0" w:space="0" w:color="auto"/>
                        <w:bottom w:val="none" w:sz="0" w:space="0" w:color="auto"/>
                        <w:right w:val="none" w:sz="0" w:space="0" w:color="auto"/>
                      </w:divBdr>
                    </w:div>
                  </w:divsChild>
                </w:div>
                <w:div w:id="541332772">
                  <w:marLeft w:val="0"/>
                  <w:marRight w:val="0"/>
                  <w:marTop w:val="0"/>
                  <w:marBottom w:val="0"/>
                  <w:divBdr>
                    <w:top w:val="none" w:sz="0" w:space="0" w:color="auto"/>
                    <w:left w:val="none" w:sz="0" w:space="0" w:color="auto"/>
                    <w:bottom w:val="none" w:sz="0" w:space="0" w:color="auto"/>
                    <w:right w:val="none" w:sz="0" w:space="0" w:color="auto"/>
                  </w:divBdr>
                  <w:divsChild>
                    <w:div w:id="258149469">
                      <w:marLeft w:val="0"/>
                      <w:marRight w:val="0"/>
                      <w:marTop w:val="0"/>
                      <w:marBottom w:val="0"/>
                      <w:divBdr>
                        <w:top w:val="none" w:sz="0" w:space="0" w:color="auto"/>
                        <w:left w:val="none" w:sz="0" w:space="0" w:color="auto"/>
                        <w:bottom w:val="none" w:sz="0" w:space="0" w:color="auto"/>
                        <w:right w:val="none" w:sz="0" w:space="0" w:color="auto"/>
                      </w:divBdr>
                    </w:div>
                    <w:div w:id="706563650">
                      <w:marLeft w:val="0"/>
                      <w:marRight w:val="0"/>
                      <w:marTop w:val="0"/>
                      <w:marBottom w:val="0"/>
                      <w:divBdr>
                        <w:top w:val="none" w:sz="0" w:space="0" w:color="auto"/>
                        <w:left w:val="none" w:sz="0" w:space="0" w:color="auto"/>
                        <w:bottom w:val="none" w:sz="0" w:space="0" w:color="auto"/>
                        <w:right w:val="none" w:sz="0" w:space="0" w:color="auto"/>
                      </w:divBdr>
                    </w:div>
                    <w:div w:id="815145915">
                      <w:marLeft w:val="0"/>
                      <w:marRight w:val="0"/>
                      <w:marTop w:val="0"/>
                      <w:marBottom w:val="0"/>
                      <w:divBdr>
                        <w:top w:val="none" w:sz="0" w:space="0" w:color="auto"/>
                        <w:left w:val="none" w:sz="0" w:space="0" w:color="auto"/>
                        <w:bottom w:val="none" w:sz="0" w:space="0" w:color="auto"/>
                        <w:right w:val="none" w:sz="0" w:space="0" w:color="auto"/>
                      </w:divBdr>
                    </w:div>
                    <w:div w:id="1412461480">
                      <w:marLeft w:val="0"/>
                      <w:marRight w:val="0"/>
                      <w:marTop w:val="0"/>
                      <w:marBottom w:val="0"/>
                      <w:divBdr>
                        <w:top w:val="none" w:sz="0" w:space="0" w:color="auto"/>
                        <w:left w:val="none" w:sz="0" w:space="0" w:color="auto"/>
                        <w:bottom w:val="none" w:sz="0" w:space="0" w:color="auto"/>
                        <w:right w:val="none" w:sz="0" w:space="0" w:color="auto"/>
                      </w:divBdr>
                    </w:div>
                    <w:div w:id="1478061507">
                      <w:marLeft w:val="0"/>
                      <w:marRight w:val="0"/>
                      <w:marTop w:val="0"/>
                      <w:marBottom w:val="0"/>
                      <w:divBdr>
                        <w:top w:val="none" w:sz="0" w:space="0" w:color="auto"/>
                        <w:left w:val="none" w:sz="0" w:space="0" w:color="auto"/>
                        <w:bottom w:val="none" w:sz="0" w:space="0" w:color="auto"/>
                        <w:right w:val="none" w:sz="0" w:space="0" w:color="auto"/>
                      </w:divBdr>
                    </w:div>
                    <w:div w:id="1685088500">
                      <w:marLeft w:val="0"/>
                      <w:marRight w:val="0"/>
                      <w:marTop w:val="0"/>
                      <w:marBottom w:val="0"/>
                      <w:divBdr>
                        <w:top w:val="none" w:sz="0" w:space="0" w:color="auto"/>
                        <w:left w:val="none" w:sz="0" w:space="0" w:color="auto"/>
                        <w:bottom w:val="none" w:sz="0" w:space="0" w:color="auto"/>
                        <w:right w:val="none" w:sz="0" w:space="0" w:color="auto"/>
                      </w:divBdr>
                    </w:div>
                    <w:div w:id="2100372811">
                      <w:marLeft w:val="0"/>
                      <w:marRight w:val="0"/>
                      <w:marTop w:val="0"/>
                      <w:marBottom w:val="0"/>
                      <w:divBdr>
                        <w:top w:val="none" w:sz="0" w:space="0" w:color="auto"/>
                        <w:left w:val="none" w:sz="0" w:space="0" w:color="auto"/>
                        <w:bottom w:val="none" w:sz="0" w:space="0" w:color="auto"/>
                        <w:right w:val="none" w:sz="0" w:space="0" w:color="auto"/>
                      </w:divBdr>
                    </w:div>
                  </w:divsChild>
                </w:div>
                <w:div w:id="570314613">
                  <w:marLeft w:val="0"/>
                  <w:marRight w:val="0"/>
                  <w:marTop w:val="0"/>
                  <w:marBottom w:val="0"/>
                  <w:divBdr>
                    <w:top w:val="none" w:sz="0" w:space="0" w:color="auto"/>
                    <w:left w:val="none" w:sz="0" w:space="0" w:color="auto"/>
                    <w:bottom w:val="none" w:sz="0" w:space="0" w:color="auto"/>
                    <w:right w:val="none" w:sz="0" w:space="0" w:color="auto"/>
                  </w:divBdr>
                  <w:divsChild>
                    <w:div w:id="912936539">
                      <w:marLeft w:val="0"/>
                      <w:marRight w:val="0"/>
                      <w:marTop w:val="0"/>
                      <w:marBottom w:val="0"/>
                      <w:divBdr>
                        <w:top w:val="none" w:sz="0" w:space="0" w:color="auto"/>
                        <w:left w:val="none" w:sz="0" w:space="0" w:color="auto"/>
                        <w:bottom w:val="none" w:sz="0" w:space="0" w:color="auto"/>
                        <w:right w:val="none" w:sz="0" w:space="0" w:color="auto"/>
                      </w:divBdr>
                    </w:div>
                  </w:divsChild>
                </w:div>
                <w:div w:id="595747093">
                  <w:marLeft w:val="0"/>
                  <w:marRight w:val="0"/>
                  <w:marTop w:val="0"/>
                  <w:marBottom w:val="0"/>
                  <w:divBdr>
                    <w:top w:val="none" w:sz="0" w:space="0" w:color="auto"/>
                    <w:left w:val="none" w:sz="0" w:space="0" w:color="auto"/>
                    <w:bottom w:val="none" w:sz="0" w:space="0" w:color="auto"/>
                    <w:right w:val="none" w:sz="0" w:space="0" w:color="auto"/>
                  </w:divBdr>
                  <w:divsChild>
                    <w:div w:id="100296692">
                      <w:marLeft w:val="0"/>
                      <w:marRight w:val="0"/>
                      <w:marTop w:val="0"/>
                      <w:marBottom w:val="0"/>
                      <w:divBdr>
                        <w:top w:val="none" w:sz="0" w:space="0" w:color="auto"/>
                        <w:left w:val="none" w:sz="0" w:space="0" w:color="auto"/>
                        <w:bottom w:val="none" w:sz="0" w:space="0" w:color="auto"/>
                        <w:right w:val="none" w:sz="0" w:space="0" w:color="auto"/>
                      </w:divBdr>
                    </w:div>
                  </w:divsChild>
                </w:div>
                <w:div w:id="650407454">
                  <w:marLeft w:val="0"/>
                  <w:marRight w:val="0"/>
                  <w:marTop w:val="0"/>
                  <w:marBottom w:val="0"/>
                  <w:divBdr>
                    <w:top w:val="none" w:sz="0" w:space="0" w:color="auto"/>
                    <w:left w:val="none" w:sz="0" w:space="0" w:color="auto"/>
                    <w:bottom w:val="none" w:sz="0" w:space="0" w:color="auto"/>
                    <w:right w:val="none" w:sz="0" w:space="0" w:color="auto"/>
                  </w:divBdr>
                  <w:divsChild>
                    <w:div w:id="312414137">
                      <w:marLeft w:val="0"/>
                      <w:marRight w:val="0"/>
                      <w:marTop w:val="0"/>
                      <w:marBottom w:val="0"/>
                      <w:divBdr>
                        <w:top w:val="none" w:sz="0" w:space="0" w:color="auto"/>
                        <w:left w:val="none" w:sz="0" w:space="0" w:color="auto"/>
                        <w:bottom w:val="none" w:sz="0" w:space="0" w:color="auto"/>
                        <w:right w:val="none" w:sz="0" w:space="0" w:color="auto"/>
                      </w:divBdr>
                    </w:div>
                  </w:divsChild>
                </w:div>
                <w:div w:id="713194991">
                  <w:marLeft w:val="0"/>
                  <w:marRight w:val="0"/>
                  <w:marTop w:val="0"/>
                  <w:marBottom w:val="0"/>
                  <w:divBdr>
                    <w:top w:val="none" w:sz="0" w:space="0" w:color="auto"/>
                    <w:left w:val="none" w:sz="0" w:space="0" w:color="auto"/>
                    <w:bottom w:val="none" w:sz="0" w:space="0" w:color="auto"/>
                    <w:right w:val="none" w:sz="0" w:space="0" w:color="auto"/>
                  </w:divBdr>
                  <w:divsChild>
                    <w:div w:id="1584949380">
                      <w:marLeft w:val="0"/>
                      <w:marRight w:val="0"/>
                      <w:marTop w:val="0"/>
                      <w:marBottom w:val="0"/>
                      <w:divBdr>
                        <w:top w:val="none" w:sz="0" w:space="0" w:color="auto"/>
                        <w:left w:val="none" w:sz="0" w:space="0" w:color="auto"/>
                        <w:bottom w:val="none" w:sz="0" w:space="0" w:color="auto"/>
                        <w:right w:val="none" w:sz="0" w:space="0" w:color="auto"/>
                      </w:divBdr>
                    </w:div>
                  </w:divsChild>
                </w:div>
                <w:div w:id="730815135">
                  <w:marLeft w:val="0"/>
                  <w:marRight w:val="0"/>
                  <w:marTop w:val="0"/>
                  <w:marBottom w:val="0"/>
                  <w:divBdr>
                    <w:top w:val="none" w:sz="0" w:space="0" w:color="auto"/>
                    <w:left w:val="none" w:sz="0" w:space="0" w:color="auto"/>
                    <w:bottom w:val="none" w:sz="0" w:space="0" w:color="auto"/>
                    <w:right w:val="none" w:sz="0" w:space="0" w:color="auto"/>
                  </w:divBdr>
                  <w:divsChild>
                    <w:div w:id="1941522261">
                      <w:marLeft w:val="0"/>
                      <w:marRight w:val="0"/>
                      <w:marTop w:val="0"/>
                      <w:marBottom w:val="0"/>
                      <w:divBdr>
                        <w:top w:val="none" w:sz="0" w:space="0" w:color="auto"/>
                        <w:left w:val="none" w:sz="0" w:space="0" w:color="auto"/>
                        <w:bottom w:val="none" w:sz="0" w:space="0" w:color="auto"/>
                        <w:right w:val="none" w:sz="0" w:space="0" w:color="auto"/>
                      </w:divBdr>
                    </w:div>
                  </w:divsChild>
                </w:div>
                <w:div w:id="761728242">
                  <w:marLeft w:val="0"/>
                  <w:marRight w:val="0"/>
                  <w:marTop w:val="0"/>
                  <w:marBottom w:val="0"/>
                  <w:divBdr>
                    <w:top w:val="none" w:sz="0" w:space="0" w:color="auto"/>
                    <w:left w:val="none" w:sz="0" w:space="0" w:color="auto"/>
                    <w:bottom w:val="none" w:sz="0" w:space="0" w:color="auto"/>
                    <w:right w:val="none" w:sz="0" w:space="0" w:color="auto"/>
                  </w:divBdr>
                  <w:divsChild>
                    <w:div w:id="632448605">
                      <w:marLeft w:val="0"/>
                      <w:marRight w:val="0"/>
                      <w:marTop w:val="0"/>
                      <w:marBottom w:val="0"/>
                      <w:divBdr>
                        <w:top w:val="none" w:sz="0" w:space="0" w:color="auto"/>
                        <w:left w:val="none" w:sz="0" w:space="0" w:color="auto"/>
                        <w:bottom w:val="none" w:sz="0" w:space="0" w:color="auto"/>
                        <w:right w:val="none" w:sz="0" w:space="0" w:color="auto"/>
                      </w:divBdr>
                    </w:div>
                  </w:divsChild>
                </w:div>
                <w:div w:id="853493918">
                  <w:marLeft w:val="0"/>
                  <w:marRight w:val="0"/>
                  <w:marTop w:val="0"/>
                  <w:marBottom w:val="0"/>
                  <w:divBdr>
                    <w:top w:val="none" w:sz="0" w:space="0" w:color="auto"/>
                    <w:left w:val="none" w:sz="0" w:space="0" w:color="auto"/>
                    <w:bottom w:val="none" w:sz="0" w:space="0" w:color="auto"/>
                    <w:right w:val="none" w:sz="0" w:space="0" w:color="auto"/>
                  </w:divBdr>
                  <w:divsChild>
                    <w:div w:id="2032222554">
                      <w:marLeft w:val="0"/>
                      <w:marRight w:val="0"/>
                      <w:marTop w:val="0"/>
                      <w:marBottom w:val="0"/>
                      <w:divBdr>
                        <w:top w:val="none" w:sz="0" w:space="0" w:color="auto"/>
                        <w:left w:val="none" w:sz="0" w:space="0" w:color="auto"/>
                        <w:bottom w:val="none" w:sz="0" w:space="0" w:color="auto"/>
                        <w:right w:val="none" w:sz="0" w:space="0" w:color="auto"/>
                      </w:divBdr>
                    </w:div>
                  </w:divsChild>
                </w:div>
                <w:div w:id="913708335">
                  <w:marLeft w:val="0"/>
                  <w:marRight w:val="0"/>
                  <w:marTop w:val="0"/>
                  <w:marBottom w:val="0"/>
                  <w:divBdr>
                    <w:top w:val="none" w:sz="0" w:space="0" w:color="auto"/>
                    <w:left w:val="none" w:sz="0" w:space="0" w:color="auto"/>
                    <w:bottom w:val="none" w:sz="0" w:space="0" w:color="auto"/>
                    <w:right w:val="none" w:sz="0" w:space="0" w:color="auto"/>
                  </w:divBdr>
                  <w:divsChild>
                    <w:div w:id="1442337762">
                      <w:marLeft w:val="0"/>
                      <w:marRight w:val="0"/>
                      <w:marTop w:val="0"/>
                      <w:marBottom w:val="0"/>
                      <w:divBdr>
                        <w:top w:val="none" w:sz="0" w:space="0" w:color="auto"/>
                        <w:left w:val="none" w:sz="0" w:space="0" w:color="auto"/>
                        <w:bottom w:val="none" w:sz="0" w:space="0" w:color="auto"/>
                        <w:right w:val="none" w:sz="0" w:space="0" w:color="auto"/>
                      </w:divBdr>
                    </w:div>
                  </w:divsChild>
                </w:div>
                <w:div w:id="1001854204">
                  <w:marLeft w:val="0"/>
                  <w:marRight w:val="0"/>
                  <w:marTop w:val="0"/>
                  <w:marBottom w:val="0"/>
                  <w:divBdr>
                    <w:top w:val="none" w:sz="0" w:space="0" w:color="auto"/>
                    <w:left w:val="none" w:sz="0" w:space="0" w:color="auto"/>
                    <w:bottom w:val="none" w:sz="0" w:space="0" w:color="auto"/>
                    <w:right w:val="none" w:sz="0" w:space="0" w:color="auto"/>
                  </w:divBdr>
                  <w:divsChild>
                    <w:div w:id="880749102">
                      <w:marLeft w:val="0"/>
                      <w:marRight w:val="0"/>
                      <w:marTop w:val="0"/>
                      <w:marBottom w:val="0"/>
                      <w:divBdr>
                        <w:top w:val="none" w:sz="0" w:space="0" w:color="auto"/>
                        <w:left w:val="none" w:sz="0" w:space="0" w:color="auto"/>
                        <w:bottom w:val="none" w:sz="0" w:space="0" w:color="auto"/>
                        <w:right w:val="none" w:sz="0" w:space="0" w:color="auto"/>
                      </w:divBdr>
                    </w:div>
                  </w:divsChild>
                </w:div>
                <w:div w:id="1094277209">
                  <w:marLeft w:val="0"/>
                  <w:marRight w:val="0"/>
                  <w:marTop w:val="0"/>
                  <w:marBottom w:val="0"/>
                  <w:divBdr>
                    <w:top w:val="none" w:sz="0" w:space="0" w:color="auto"/>
                    <w:left w:val="none" w:sz="0" w:space="0" w:color="auto"/>
                    <w:bottom w:val="none" w:sz="0" w:space="0" w:color="auto"/>
                    <w:right w:val="none" w:sz="0" w:space="0" w:color="auto"/>
                  </w:divBdr>
                  <w:divsChild>
                    <w:div w:id="1784612723">
                      <w:marLeft w:val="0"/>
                      <w:marRight w:val="0"/>
                      <w:marTop w:val="0"/>
                      <w:marBottom w:val="0"/>
                      <w:divBdr>
                        <w:top w:val="none" w:sz="0" w:space="0" w:color="auto"/>
                        <w:left w:val="none" w:sz="0" w:space="0" w:color="auto"/>
                        <w:bottom w:val="none" w:sz="0" w:space="0" w:color="auto"/>
                        <w:right w:val="none" w:sz="0" w:space="0" w:color="auto"/>
                      </w:divBdr>
                    </w:div>
                  </w:divsChild>
                </w:div>
                <w:div w:id="1129133630">
                  <w:marLeft w:val="0"/>
                  <w:marRight w:val="0"/>
                  <w:marTop w:val="0"/>
                  <w:marBottom w:val="0"/>
                  <w:divBdr>
                    <w:top w:val="none" w:sz="0" w:space="0" w:color="auto"/>
                    <w:left w:val="none" w:sz="0" w:space="0" w:color="auto"/>
                    <w:bottom w:val="none" w:sz="0" w:space="0" w:color="auto"/>
                    <w:right w:val="none" w:sz="0" w:space="0" w:color="auto"/>
                  </w:divBdr>
                  <w:divsChild>
                    <w:div w:id="2095203454">
                      <w:marLeft w:val="0"/>
                      <w:marRight w:val="0"/>
                      <w:marTop w:val="0"/>
                      <w:marBottom w:val="0"/>
                      <w:divBdr>
                        <w:top w:val="none" w:sz="0" w:space="0" w:color="auto"/>
                        <w:left w:val="none" w:sz="0" w:space="0" w:color="auto"/>
                        <w:bottom w:val="none" w:sz="0" w:space="0" w:color="auto"/>
                        <w:right w:val="none" w:sz="0" w:space="0" w:color="auto"/>
                      </w:divBdr>
                    </w:div>
                  </w:divsChild>
                </w:div>
                <w:div w:id="1152140077">
                  <w:marLeft w:val="0"/>
                  <w:marRight w:val="0"/>
                  <w:marTop w:val="0"/>
                  <w:marBottom w:val="0"/>
                  <w:divBdr>
                    <w:top w:val="none" w:sz="0" w:space="0" w:color="auto"/>
                    <w:left w:val="none" w:sz="0" w:space="0" w:color="auto"/>
                    <w:bottom w:val="none" w:sz="0" w:space="0" w:color="auto"/>
                    <w:right w:val="none" w:sz="0" w:space="0" w:color="auto"/>
                  </w:divBdr>
                  <w:divsChild>
                    <w:div w:id="1903369393">
                      <w:marLeft w:val="0"/>
                      <w:marRight w:val="0"/>
                      <w:marTop w:val="0"/>
                      <w:marBottom w:val="0"/>
                      <w:divBdr>
                        <w:top w:val="none" w:sz="0" w:space="0" w:color="auto"/>
                        <w:left w:val="none" w:sz="0" w:space="0" w:color="auto"/>
                        <w:bottom w:val="none" w:sz="0" w:space="0" w:color="auto"/>
                        <w:right w:val="none" w:sz="0" w:space="0" w:color="auto"/>
                      </w:divBdr>
                    </w:div>
                  </w:divsChild>
                </w:div>
                <w:div w:id="1159812055">
                  <w:marLeft w:val="0"/>
                  <w:marRight w:val="0"/>
                  <w:marTop w:val="0"/>
                  <w:marBottom w:val="0"/>
                  <w:divBdr>
                    <w:top w:val="none" w:sz="0" w:space="0" w:color="auto"/>
                    <w:left w:val="none" w:sz="0" w:space="0" w:color="auto"/>
                    <w:bottom w:val="none" w:sz="0" w:space="0" w:color="auto"/>
                    <w:right w:val="none" w:sz="0" w:space="0" w:color="auto"/>
                  </w:divBdr>
                  <w:divsChild>
                    <w:div w:id="1361204665">
                      <w:marLeft w:val="0"/>
                      <w:marRight w:val="0"/>
                      <w:marTop w:val="0"/>
                      <w:marBottom w:val="0"/>
                      <w:divBdr>
                        <w:top w:val="none" w:sz="0" w:space="0" w:color="auto"/>
                        <w:left w:val="none" w:sz="0" w:space="0" w:color="auto"/>
                        <w:bottom w:val="none" w:sz="0" w:space="0" w:color="auto"/>
                        <w:right w:val="none" w:sz="0" w:space="0" w:color="auto"/>
                      </w:divBdr>
                    </w:div>
                  </w:divsChild>
                </w:div>
                <w:div w:id="1194613803">
                  <w:marLeft w:val="0"/>
                  <w:marRight w:val="0"/>
                  <w:marTop w:val="0"/>
                  <w:marBottom w:val="0"/>
                  <w:divBdr>
                    <w:top w:val="none" w:sz="0" w:space="0" w:color="auto"/>
                    <w:left w:val="none" w:sz="0" w:space="0" w:color="auto"/>
                    <w:bottom w:val="none" w:sz="0" w:space="0" w:color="auto"/>
                    <w:right w:val="none" w:sz="0" w:space="0" w:color="auto"/>
                  </w:divBdr>
                  <w:divsChild>
                    <w:div w:id="1140464140">
                      <w:marLeft w:val="0"/>
                      <w:marRight w:val="0"/>
                      <w:marTop w:val="0"/>
                      <w:marBottom w:val="0"/>
                      <w:divBdr>
                        <w:top w:val="none" w:sz="0" w:space="0" w:color="auto"/>
                        <w:left w:val="none" w:sz="0" w:space="0" w:color="auto"/>
                        <w:bottom w:val="none" w:sz="0" w:space="0" w:color="auto"/>
                        <w:right w:val="none" w:sz="0" w:space="0" w:color="auto"/>
                      </w:divBdr>
                    </w:div>
                  </w:divsChild>
                </w:div>
                <w:div w:id="1241014395">
                  <w:marLeft w:val="0"/>
                  <w:marRight w:val="0"/>
                  <w:marTop w:val="0"/>
                  <w:marBottom w:val="0"/>
                  <w:divBdr>
                    <w:top w:val="none" w:sz="0" w:space="0" w:color="auto"/>
                    <w:left w:val="none" w:sz="0" w:space="0" w:color="auto"/>
                    <w:bottom w:val="none" w:sz="0" w:space="0" w:color="auto"/>
                    <w:right w:val="none" w:sz="0" w:space="0" w:color="auto"/>
                  </w:divBdr>
                  <w:divsChild>
                    <w:div w:id="1934892513">
                      <w:marLeft w:val="0"/>
                      <w:marRight w:val="0"/>
                      <w:marTop w:val="0"/>
                      <w:marBottom w:val="0"/>
                      <w:divBdr>
                        <w:top w:val="none" w:sz="0" w:space="0" w:color="auto"/>
                        <w:left w:val="none" w:sz="0" w:space="0" w:color="auto"/>
                        <w:bottom w:val="none" w:sz="0" w:space="0" w:color="auto"/>
                        <w:right w:val="none" w:sz="0" w:space="0" w:color="auto"/>
                      </w:divBdr>
                    </w:div>
                  </w:divsChild>
                </w:div>
                <w:div w:id="1288273893">
                  <w:marLeft w:val="0"/>
                  <w:marRight w:val="0"/>
                  <w:marTop w:val="0"/>
                  <w:marBottom w:val="0"/>
                  <w:divBdr>
                    <w:top w:val="none" w:sz="0" w:space="0" w:color="auto"/>
                    <w:left w:val="none" w:sz="0" w:space="0" w:color="auto"/>
                    <w:bottom w:val="none" w:sz="0" w:space="0" w:color="auto"/>
                    <w:right w:val="none" w:sz="0" w:space="0" w:color="auto"/>
                  </w:divBdr>
                  <w:divsChild>
                    <w:div w:id="1790855599">
                      <w:marLeft w:val="0"/>
                      <w:marRight w:val="0"/>
                      <w:marTop w:val="0"/>
                      <w:marBottom w:val="0"/>
                      <w:divBdr>
                        <w:top w:val="none" w:sz="0" w:space="0" w:color="auto"/>
                        <w:left w:val="none" w:sz="0" w:space="0" w:color="auto"/>
                        <w:bottom w:val="none" w:sz="0" w:space="0" w:color="auto"/>
                        <w:right w:val="none" w:sz="0" w:space="0" w:color="auto"/>
                      </w:divBdr>
                    </w:div>
                  </w:divsChild>
                </w:div>
                <w:div w:id="1355422427">
                  <w:marLeft w:val="0"/>
                  <w:marRight w:val="0"/>
                  <w:marTop w:val="0"/>
                  <w:marBottom w:val="0"/>
                  <w:divBdr>
                    <w:top w:val="none" w:sz="0" w:space="0" w:color="auto"/>
                    <w:left w:val="none" w:sz="0" w:space="0" w:color="auto"/>
                    <w:bottom w:val="none" w:sz="0" w:space="0" w:color="auto"/>
                    <w:right w:val="none" w:sz="0" w:space="0" w:color="auto"/>
                  </w:divBdr>
                  <w:divsChild>
                    <w:div w:id="139084303">
                      <w:marLeft w:val="0"/>
                      <w:marRight w:val="0"/>
                      <w:marTop w:val="0"/>
                      <w:marBottom w:val="0"/>
                      <w:divBdr>
                        <w:top w:val="none" w:sz="0" w:space="0" w:color="auto"/>
                        <w:left w:val="none" w:sz="0" w:space="0" w:color="auto"/>
                        <w:bottom w:val="none" w:sz="0" w:space="0" w:color="auto"/>
                        <w:right w:val="none" w:sz="0" w:space="0" w:color="auto"/>
                      </w:divBdr>
                    </w:div>
                  </w:divsChild>
                </w:div>
                <w:div w:id="1357271437">
                  <w:marLeft w:val="0"/>
                  <w:marRight w:val="0"/>
                  <w:marTop w:val="0"/>
                  <w:marBottom w:val="0"/>
                  <w:divBdr>
                    <w:top w:val="none" w:sz="0" w:space="0" w:color="auto"/>
                    <w:left w:val="none" w:sz="0" w:space="0" w:color="auto"/>
                    <w:bottom w:val="none" w:sz="0" w:space="0" w:color="auto"/>
                    <w:right w:val="none" w:sz="0" w:space="0" w:color="auto"/>
                  </w:divBdr>
                  <w:divsChild>
                    <w:div w:id="547037068">
                      <w:marLeft w:val="0"/>
                      <w:marRight w:val="0"/>
                      <w:marTop w:val="0"/>
                      <w:marBottom w:val="0"/>
                      <w:divBdr>
                        <w:top w:val="none" w:sz="0" w:space="0" w:color="auto"/>
                        <w:left w:val="none" w:sz="0" w:space="0" w:color="auto"/>
                        <w:bottom w:val="none" w:sz="0" w:space="0" w:color="auto"/>
                        <w:right w:val="none" w:sz="0" w:space="0" w:color="auto"/>
                      </w:divBdr>
                    </w:div>
                  </w:divsChild>
                </w:div>
                <w:div w:id="1405953453">
                  <w:marLeft w:val="0"/>
                  <w:marRight w:val="0"/>
                  <w:marTop w:val="0"/>
                  <w:marBottom w:val="0"/>
                  <w:divBdr>
                    <w:top w:val="none" w:sz="0" w:space="0" w:color="auto"/>
                    <w:left w:val="none" w:sz="0" w:space="0" w:color="auto"/>
                    <w:bottom w:val="none" w:sz="0" w:space="0" w:color="auto"/>
                    <w:right w:val="none" w:sz="0" w:space="0" w:color="auto"/>
                  </w:divBdr>
                  <w:divsChild>
                    <w:div w:id="11617874">
                      <w:marLeft w:val="0"/>
                      <w:marRight w:val="0"/>
                      <w:marTop w:val="0"/>
                      <w:marBottom w:val="0"/>
                      <w:divBdr>
                        <w:top w:val="none" w:sz="0" w:space="0" w:color="auto"/>
                        <w:left w:val="none" w:sz="0" w:space="0" w:color="auto"/>
                        <w:bottom w:val="none" w:sz="0" w:space="0" w:color="auto"/>
                        <w:right w:val="none" w:sz="0" w:space="0" w:color="auto"/>
                      </w:divBdr>
                    </w:div>
                  </w:divsChild>
                </w:div>
                <w:div w:id="1426809104">
                  <w:marLeft w:val="0"/>
                  <w:marRight w:val="0"/>
                  <w:marTop w:val="0"/>
                  <w:marBottom w:val="0"/>
                  <w:divBdr>
                    <w:top w:val="none" w:sz="0" w:space="0" w:color="auto"/>
                    <w:left w:val="none" w:sz="0" w:space="0" w:color="auto"/>
                    <w:bottom w:val="none" w:sz="0" w:space="0" w:color="auto"/>
                    <w:right w:val="none" w:sz="0" w:space="0" w:color="auto"/>
                  </w:divBdr>
                  <w:divsChild>
                    <w:div w:id="1585870625">
                      <w:marLeft w:val="0"/>
                      <w:marRight w:val="0"/>
                      <w:marTop w:val="0"/>
                      <w:marBottom w:val="0"/>
                      <w:divBdr>
                        <w:top w:val="none" w:sz="0" w:space="0" w:color="auto"/>
                        <w:left w:val="none" w:sz="0" w:space="0" w:color="auto"/>
                        <w:bottom w:val="none" w:sz="0" w:space="0" w:color="auto"/>
                        <w:right w:val="none" w:sz="0" w:space="0" w:color="auto"/>
                      </w:divBdr>
                    </w:div>
                  </w:divsChild>
                </w:div>
                <w:div w:id="1482890892">
                  <w:marLeft w:val="0"/>
                  <w:marRight w:val="0"/>
                  <w:marTop w:val="0"/>
                  <w:marBottom w:val="0"/>
                  <w:divBdr>
                    <w:top w:val="none" w:sz="0" w:space="0" w:color="auto"/>
                    <w:left w:val="none" w:sz="0" w:space="0" w:color="auto"/>
                    <w:bottom w:val="none" w:sz="0" w:space="0" w:color="auto"/>
                    <w:right w:val="none" w:sz="0" w:space="0" w:color="auto"/>
                  </w:divBdr>
                  <w:divsChild>
                    <w:div w:id="998971029">
                      <w:marLeft w:val="0"/>
                      <w:marRight w:val="0"/>
                      <w:marTop w:val="0"/>
                      <w:marBottom w:val="0"/>
                      <w:divBdr>
                        <w:top w:val="none" w:sz="0" w:space="0" w:color="auto"/>
                        <w:left w:val="none" w:sz="0" w:space="0" w:color="auto"/>
                        <w:bottom w:val="none" w:sz="0" w:space="0" w:color="auto"/>
                        <w:right w:val="none" w:sz="0" w:space="0" w:color="auto"/>
                      </w:divBdr>
                    </w:div>
                  </w:divsChild>
                </w:div>
                <w:div w:id="1550914603">
                  <w:marLeft w:val="0"/>
                  <w:marRight w:val="0"/>
                  <w:marTop w:val="0"/>
                  <w:marBottom w:val="0"/>
                  <w:divBdr>
                    <w:top w:val="none" w:sz="0" w:space="0" w:color="auto"/>
                    <w:left w:val="none" w:sz="0" w:space="0" w:color="auto"/>
                    <w:bottom w:val="none" w:sz="0" w:space="0" w:color="auto"/>
                    <w:right w:val="none" w:sz="0" w:space="0" w:color="auto"/>
                  </w:divBdr>
                  <w:divsChild>
                    <w:div w:id="742723661">
                      <w:marLeft w:val="0"/>
                      <w:marRight w:val="0"/>
                      <w:marTop w:val="0"/>
                      <w:marBottom w:val="0"/>
                      <w:divBdr>
                        <w:top w:val="none" w:sz="0" w:space="0" w:color="auto"/>
                        <w:left w:val="none" w:sz="0" w:space="0" w:color="auto"/>
                        <w:bottom w:val="none" w:sz="0" w:space="0" w:color="auto"/>
                        <w:right w:val="none" w:sz="0" w:space="0" w:color="auto"/>
                      </w:divBdr>
                    </w:div>
                  </w:divsChild>
                </w:div>
                <w:div w:id="1560049762">
                  <w:marLeft w:val="0"/>
                  <w:marRight w:val="0"/>
                  <w:marTop w:val="0"/>
                  <w:marBottom w:val="0"/>
                  <w:divBdr>
                    <w:top w:val="none" w:sz="0" w:space="0" w:color="auto"/>
                    <w:left w:val="none" w:sz="0" w:space="0" w:color="auto"/>
                    <w:bottom w:val="none" w:sz="0" w:space="0" w:color="auto"/>
                    <w:right w:val="none" w:sz="0" w:space="0" w:color="auto"/>
                  </w:divBdr>
                  <w:divsChild>
                    <w:div w:id="737675914">
                      <w:marLeft w:val="0"/>
                      <w:marRight w:val="0"/>
                      <w:marTop w:val="0"/>
                      <w:marBottom w:val="0"/>
                      <w:divBdr>
                        <w:top w:val="none" w:sz="0" w:space="0" w:color="auto"/>
                        <w:left w:val="none" w:sz="0" w:space="0" w:color="auto"/>
                        <w:bottom w:val="none" w:sz="0" w:space="0" w:color="auto"/>
                        <w:right w:val="none" w:sz="0" w:space="0" w:color="auto"/>
                      </w:divBdr>
                    </w:div>
                  </w:divsChild>
                </w:div>
                <w:div w:id="1600143642">
                  <w:marLeft w:val="0"/>
                  <w:marRight w:val="0"/>
                  <w:marTop w:val="0"/>
                  <w:marBottom w:val="0"/>
                  <w:divBdr>
                    <w:top w:val="none" w:sz="0" w:space="0" w:color="auto"/>
                    <w:left w:val="none" w:sz="0" w:space="0" w:color="auto"/>
                    <w:bottom w:val="none" w:sz="0" w:space="0" w:color="auto"/>
                    <w:right w:val="none" w:sz="0" w:space="0" w:color="auto"/>
                  </w:divBdr>
                  <w:divsChild>
                    <w:div w:id="1703246842">
                      <w:marLeft w:val="0"/>
                      <w:marRight w:val="0"/>
                      <w:marTop w:val="0"/>
                      <w:marBottom w:val="0"/>
                      <w:divBdr>
                        <w:top w:val="none" w:sz="0" w:space="0" w:color="auto"/>
                        <w:left w:val="none" w:sz="0" w:space="0" w:color="auto"/>
                        <w:bottom w:val="none" w:sz="0" w:space="0" w:color="auto"/>
                        <w:right w:val="none" w:sz="0" w:space="0" w:color="auto"/>
                      </w:divBdr>
                    </w:div>
                  </w:divsChild>
                </w:div>
                <w:div w:id="1738015209">
                  <w:marLeft w:val="0"/>
                  <w:marRight w:val="0"/>
                  <w:marTop w:val="0"/>
                  <w:marBottom w:val="0"/>
                  <w:divBdr>
                    <w:top w:val="none" w:sz="0" w:space="0" w:color="auto"/>
                    <w:left w:val="none" w:sz="0" w:space="0" w:color="auto"/>
                    <w:bottom w:val="none" w:sz="0" w:space="0" w:color="auto"/>
                    <w:right w:val="none" w:sz="0" w:space="0" w:color="auto"/>
                  </w:divBdr>
                  <w:divsChild>
                    <w:div w:id="396586521">
                      <w:marLeft w:val="0"/>
                      <w:marRight w:val="0"/>
                      <w:marTop w:val="0"/>
                      <w:marBottom w:val="0"/>
                      <w:divBdr>
                        <w:top w:val="none" w:sz="0" w:space="0" w:color="auto"/>
                        <w:left w:val="none" w:sz="0" w:space="0" w:color="auto"/>
                        <w:bottom w:val="none" w:sz="0" w:space="0" w:color="auto"/>
                        <w:right w:val="none" w:sz="0" w:space="0" w:color="auto"/>
                      </w:divBdr>
                    </w:div>
                  </w:divsChild>
                </w:div>
                <w:div w:id="1798405513">
                  <w:marLeft w:val="0"/>
                  <w:marRight w:val="0"/>
                  <w:marTop w:val="0"/>
                  <w:marBottom w:val="0"/>
                  <w:divBdr>
                    <w:top w:val="none" w:sz="0" w:space="0" w:color="auto"/>
                    <w:left w:val="none" w:sz="0" w:space="0" w:color="auto"/>
                    <w:bottom w:val="none" w:sz="0" w:space="0" w:color="auto"/>
                    <w:right w:val="none" w:sz="0" w:space="0" w:color="auto"/>
                  </w:divBdr>
                  <w:divsChild>
                    <w:div w:id="346181317">
                      <w:marLeft w:val="0"/>
                      <w:marRight w:val="0"/>
                      <w:marTop w:val="0"/>
                      <w:marBottom w:val="0"/>
                      <w:divBdr>
                        <w:top w:val="none" w:sz="0" w:space="0" w:color="auto"/>
                        <w:left w:val="none" w:sz="0" w:space="0" w:color="auto"/>
                        <w:bottom w:val="none" w:sz="0" w:space="0" w:color="auto"/>
                        <w:right w:val="none" w:sz="0" w:space="0" w:color="auto"/>
                      </w:divBdr>
                    </w:div>
                  </w:divsChild>
                </w:div>
                <w:div w:id="1857622202">
                  <w:marLeft w:val="0"/>
                  <w:marRight w:val="0"/>
                  <w:marTop w:val="0"/>
                  <w:marBottom w:val="0"/>
                  <w:divBdr>
                    <w:top w:val="none" w:sz="0" w:space="0" w:color="auto"/>
                    <w:left w:val="none" w:sz="0" w:space="0" w:color="auto"/>
                    <w:bottom w:val="none" w:sz="0" w:space="0" w:color="auto"/>
                    <w:right w:val="none" w:sz="0" w:space="0" w:color="auto"/>
                  </w:divBdr>
                  <w:divsChild>
                    <w:div w:id="343820963">
                      <w:marLeft w:val="0"/>
                      <w:marRight w:val="0"/>
                      <w:marTop w:val="0"/>
                      <w:marBottom w:val="0"/>
                      <w:divBdr>
                        <w:top w:val="none" w:sz="0" w:space="0" w:color="auto"/>
                        <w:left w:val="none" w:sz="0" w:space="0" w:color="auto"/>
                        <w:bottom w:val="none" w:sz="0" w:space="0" w:color="auto"/>
                        <w:right w:val="none" w:sz="0" w:space="0" w:color="auto"/>
                      </w:divBdr>
                    </w:div>
                  </w:divsChild>
                </w:div>
                <w:div w:id="1874345325">
                  <w:marLeft w:val="0"/>
                  <w:marRight w:val="0"/>
                  <w:marTop w:val="0"/>
                  <w:marBottom w:val="0"/>
                  <w:divBdr>
                    <w:top w:val="none" w:sz="0" w:space="0" w:color="auto"/>
                    <w:left w:val="none" w:sz="0" w:space="0" w:color="auto"/>
                    <w:bottom w:val="none" w:sz="0" w:space="0" w:color="auto"/>
                    <w:right w:val="none" w:sz="0" w:space="0" w:color="auto"/>
                  </w:divBdr>
                  <w:divsChild>
                    <w:div w:id="190269484">
                      <w:marLeft w:val="0"/>
                      <w:marRight w:val="0"/>
                      <w:marTop w:val="0"/>
                      <w:marBottom w:val="0"/>
                      <w:divBdr>
                        <w:top w:val="none" w:sz="0" w:space="0" w:color="auto"/>
                        <w:left w:val="none" w:sz="0" w:space="0" w:color="auto"/>
                        <w:bottom w:val="none" w:sz="0" w:space="0" w:color="auto"/>
                        <w:right w:val="none" w:sz="0" w:space="0" w:color="auto"/>
                      </w:divBdr>
                    </w:div>
                  </w:divsChild>
                </w:div>
                <w:div w:id="1926259838">
                  <w:marLeft w:val="0"/>
                  <w:marRight w:val="0"/>
                  <w:marTop w:val="0"/>
                  <w:marBottom w:val="0"/>
                  <w:divBdr>
                    <w:top w:val="none" w:sz="0" w:space="0" w:color="auto"/>
                    <w:left w:val="none" w:sz="0" w:space="0" w:color="auto"/>
                    <w:bottom w:val="none" w:sz="0" w:space="0" w:color="auto"/>
                    <w:right w:val="none" w:sz="0" w:space="0" w:color="auto"/>
                  </w:divBdr>
                  <w:divsChild>
                    <w:div w:id="689914023">
                      <w:marLeft w:val="0"/>
                      <w:marRight w:val="0"/>
                      <w:marTop w:val="0"/>
                      <w:marBottom w:val="0"/>
                      <w:divBdr>
                        <w:top w:val="none" w:sz="0" w:space="0" w:color="auto"/>
                        <w:left w:val="none" w:sz="0" w:space="0" w:color="auto"/>
                        <w:bottom w:val="none" w:sz="0" w:space="0" w:color="auto"/>
                        <w:right w:val="none" w:sz="0" w:space="0" w:color="auto"/>
                      </w:divBdr>
                    </w:div>
                  </w:divsChild>
                </w:div>
                <w:div w:id="1956936469">
                  <w:marLeft w:val="0"/>
                  <w:marRight w:val="0"/>
                  <w:marTop w:val="0"/>
                  <w:marBottom w:val="0"/>
                  <w:divBdr>
                    <w:top w:val="none" w:sz="0" w:space="0" w:color="auto"/>
                    <w:left w:val="none" w:sz="0" w:space="0" w:color="auto"/>
                    <w:bottom w:val="none" w:sz="0" w:space="0" w:color="auto"/>
                    <w:right w:val="none" w:sz="0" w:space="0" w:color="auto"/>
                  </w:divBdr>
                  <w:divsChild>
                    <w:div w:id="1877429116">
                      <w:marLeft w:val="0"/>
                      <w:marRight w:val="0"/>
                      <w:marTop w:val="0"/>
                      <w:marBottom w:val="0"/>
                      <w:divBdr>
                        <w:top w:val="none" w:sz="0" w:space="0" w:color="auto"/>
                        <w:left w:val="none" w:sz="0" w:space="0" w:color="auto"/>
                        <w:bottom w:val="none" w:sz="0" w:space="0" w:color="auto"/>
                        <w:right w:val="none" w:sz="0" w:space="0" w:color="auto"/>
                      </w:divBdr>
                    </w:div>
                  </w:divsChild>
                </w:div>
                <w:div w:id="2067147031">
                  <w:marLeft w:val="0"/>
                  <w:marRight w:val="0"/>
                  <w:marTop w:val="0"/>
                  <w:marBottom w:val="0"/>
                  <w:divBdr>
                    <w:top w:val="none" w:sz="0" w:space="0" w:color="auto"/>
                    <w:left w:val="none" w:sz="0" w:space="0" w:color="auto"/>
                    <w:bottom w:val="none" w:sz="0" w:space="0" w:color="auto"/>
                    <w:right w:val="none" w:sz="0" w:space="0" w:color="auto"/>
                  </w:divBdr>
                  <w:divsChild>
                    <w:div w:id="638341706">
                      <w:marLeft w:val="0"/>
                      <w:marRight w:val="0"/>
                      <w:marTop w:val="0"/>
                      <w:marBottom w:val="0"/>
                      <w:divBdr>
                        <w:top w:val="none" w:sz="0" w:space="0" w:color="auto"/>
                        <w:left w:val="none" w:sz="0" w:space="0" w:color="auto"/>
                        <w:bottom w:val="none" w:sz="0" w:space="0" w:color="auto"/>
                        <w:right w:val="none" w:sz="0" w:space="0" w:color="auto"/>
                      </w:divBdr>
                    </w:div>
                  </w:divsChild>
                </w:div>
                <w:div w:id="2131849368">
                  <w:marLeft w:val="0"/>
                  <w:marRight w:val="0"/>
                  <w:marTop w:val="0"/>
                  <w:marBottom w:val="0"/>
                  <w:divBdr>
                    <w:top w:val="none" w:sz="0" w:space="0" w:color="auto"/>
                    <w:left w:val="none" w:sz="0" w:space="0" w:color="auto"/>
                    <w:bottom w:val="none" w:sz="0" w:space="0" w:color="auto"/>
                    <w:right w:val="none" w:sz="0" w:space="0" w:color="auto"/>
                  </w:divBdr>
                  <w:divsChild>
                    <w:div w:id="12364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105972">
      <w:bodyDiv w:val="1"/>
      <w:marLeft w:val="0"/>
      <w:marRight w:val="0"/>
      <w:marTop w:val="0"/>
      <w:marBottom w:val="0"/>
      <w:divBdr>
        <w:top w:val="none" w:sz="0" w:space="0" w:color="auto"/>
        <w:left w:val="none" w:sz="0" w:space="0" w:color="auto"/>
        <w:bottom w:val="none" w:sz="0" w:space="0" w:color="auto"/>
        <w:right w:val="none" w:sz="0" w:space="0" w:color="auto"/>
      </w:divBdr>
      <w:divsChild>
        <w:div w:id="684862303">
          <w:marLeft w:val="0"/>
          <w:marRight w:val="0"/>
          <w:marTop w:val="0"/>
          <w:marBottom w:val="0"/>
          <w:divBdr>
            <w:top w:val="none" w:sz="0" w:space="0" w:color="auto"/>
            <w:left w:val="none" w:sz="0" w:space="0" w:color="auto"/>
            <w:bottom w:val="none" w:sz="0" w:space="0" w:color="auto"/>
            <w:right w:val="none" w:sz="0" w:space="0" w:color="auto"/>
          </w:divBdr>
        </w:div>
        <w:div w:id="1406104979">
          <w:marLeft w:val="0"/>
          <w:marRight w:val="0"/>
          <w:marTop w:val="0"/>
          <w:marBottom w:val="0"/>
          <w:divBdr>
            <w:top w:val="none" w:sz="0" w:space="0" w:color="auto"/>
            <w:left w:val="none" w:sz="0" w:space="0" w:color="auto"/>
            <w:bottom w:val="none" w:sz="0" w:space="0" w:color="auto"/>
            <w:right w:val="none" w:sz="0" w:space="0" w:color="auto"/>
          </w:divBdr>
        </w:div>
      </w:divsChild>
    </w:div>
    <w:div w:id="2079939507">
      <w:bodyDiv w:val="1"/>
      <w:marLeft w:val="0"/>
      <w:marRight w:val="0"/>
      <w:marTop w:val="0"/>
      <w:marBottom w:val="0"/>
      <w:divBdr>
        <w:top w:val="none" w:sz="0" w:space="0" w:color="auto"/>
        <w:left w:val="none" w:sz="0" w:space="0" w:color="auto"/>
        <w:bottom w:val="none" w:sz="0" w:space="0" w:color="auto"/>
        <w:right w:val="none" w:sz="0" w:space="0" w:color="auto"/>
      </w:divBdr>
    </w:div>
    <w:div w:id="2095122705">
      <w:bodyDiv w:val="1"/>
      <w:marLeft w:val="0"/>
      <w:marRight w:val="0"/>
      <w:marTop w:val="0"/>
      <w:marBottom w:val="0"/>
      <w:divBdr>
        <w:top w:val="none" w:sz="0" w:space="0" w:color="auto"/>
        <w:left w:val="none" w:sz="0" w:space="0" w:color="auto"/>
        <w:bottom w:val="none" w:sz="0" w:space="0" w:color="auto"/>
        <w:right w:val="none" w:sz="0" w:space="0" w:color="auto"/>
      </w:divBdr>
    </w:div>
    <w:div w:id="213020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hart" Target="charts/chart2.xml"/><Relationship Id="rId39"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7.xml"/><Relationship Id="rId42" Type="http://schemas.openxmlformats.org/officeDocument/2006/relationships/image" Target="media/image5.png"/><Relationship Id="rId47" Type="http://schemas.openxmlformats.org/officeDocument/2006/relationships/header" Target="header12.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header" Target="header9.xml"/><Relationship Id="rId46"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hart" Target="charts/chart5.xm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chart" Target="charts/chart8.xml"/><Relationship Id="rId37" Type="http://schemas.openxmlformats.org/officeDocument/2006/relationships/footer" Target="footer8.xml"/><Relationship Id="rId40" Type="http://schemas.openxmlformats.org/officeDocument/2006/relationships/image" Target="media/image3.png"/><Relationship Id="rId45"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hart" Target="charts/chart4.xml"/><Relationship Id="rId36" Type="http://schemas.openxmlformats.org/officeDocument/2006/relationships/footer" Target="footer7.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chart" Target="charts/chart7.xml"/><Relationship Id="rId44"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header" Target="header8.xml"/><Relationship Id="rId43" Type="http://schemas.openxmlformats.org/officeDocument/2006/relationships/header" Target="header10.xml"/><Relationship Id="rId48" Type="http://schemas.openxmlformats.org/officeDocument/2006/relationships/footer" Target="footer1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dir/2015/849/oj/eng" TargetMode="External"/><Relationship Id="rId2" Type="http://schemas.openxmlformats.org/officeDocument/2006/relationships/hyperlink" Target="https://ec.europa.eu/info/sites/info/files/better-regulation-guidelines-evaluation-fitness-checks.pdf" TargetMode="External"/><Relationship Id="rId1" Type="http://schemas.openxmlformats.org/officeDocument/2006/relationships/hyperlink" Target="https://eur-lex.europa.eu/legal-content/EN/TXT/?uri=celex%3A32018L1673" TargetMode="External"/><Relationship Id="rId6" Type="http://schemas.openxmlformats.org/officeDocument/2006/relationships/hyperlink" Target="https://www.europol.europa.eu/cms/sites/default/files/documents/EU-SOCTA-2025.pdf" TargetMode="External"/><Relationship Id="rId5" Type="http://schemas.openxmlformats.org/officeDocument/2006/relationships/hyperlink" Target="https://eur-lex.europa.eu/legal-content/EN/TXT/?uri=CELEX%3A52025DC0148" TargetMode="External"/><Relationship Id="rId4" Type="http://schemas.openxmlformats.org/officeDocument/2006/relationships/hyperlink" Target="https://www.eurojust.europa.eu/publication/eurojust-report-money-laundering"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myresources.deloitte.com/personal/omakoglou_deloitte_gr/Documents/Desktop/PROJECTS/CMLD%20EVALUATION%20DIRECTIVE/SURVEYS/Fundamental%20rights-Graphs%20Draf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a:t>Level</a:t>
            </a:r>
            <a:r>
              <a:rPr lang="en-US" sz="800" baseline="0"/>
              <a:t> of facilitation of the investigation of money-laundering </a:t>
            </a:r>
            <a:r>
              <a:rPr lang="en-US" sz="800" b="0" i="0" u="none" strike="noStrike" baseline="0">
                <a:effectLst/>
              </a:rPr>
              <a:t>without prior conviction, prosecution or extensive factual establishment of the predicate offence (Judicial Authorities:7, LEAs: 13, NGOs: 2, Int.Org: 1)</a:t>
            </a:r>
            <a:endParaRPr lang="en-US" sz="8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Judicial authorities</c:v>
                </c:pt>
              </c:strCache>
            </c:strRef>
          </c:tx>
          <c:spPr>
            <a:solidFill>
              <a:schemeClr val="accent1"/>
            </a:solidFill>
            <a:ln>
              <a:noFill/>
            </a:ln>
            <a:effectLst/>
          </c:spPr>
          <c:invertIfNegative val="0"/>
          <c:cat>
            <c:strRef>
              <c:f>Sheet1!$A$2:$A$6</c:f>
              <c:strCache>
                <c:ptCount val="5"/>
                <c:pt idx="0">
                  <c:v>1: Very low facilitation</c:v>
                </c:pt>
                <c:pt idx="1">
                  <c:v>2: Low facilitation </c:v>
                </c:pt>
                <c:pt idx="2">
                  <c:v>3: Moderate facilitation </c:v>
                </c:pt>
                <c:pt idx="3">
                  <c:v>4: High facilitation</c:v>
                </c:pt>
                <c:pt idx="4">
                  <c:v>5: Very high facilitation</c:v>
                </c:pt>
              </c:strCache>
            </c:strRef>
          </c:cat>
          <c:val>
            <c:numRef>
              <c:f>Sheet1!$B$2:$B$6</c:f>
              <c:numCache>
                <c:formatCode>General</c:formatCode>
                <c:ptCount val="5"/>
                <c:pt idx="1">
                  <c:v>1</c:v>
                </c:pt>
                <c:pt idx="2">
                  <c:v>3</c:v>
                </c:pt>
                <c:pt idx="3">
                  <c:v>1</c:v>
                </c:pt>
                <c:pt idx="4">
                  <c:v>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E77D-4D1E-9C31-90905F710187}"/>
            </c:ext>
          </c:extLst>
        </c:ser>
        <c:ser>
          <c:idx val="1"/>
          <c:order val="1"/>
          <c:tx>
            <c:strRef>
              <c:f>Sheet1!$C$1</c:f>
              <c:strCache>
                <c:ptCount val="1"/>
                <c:pt idx="0">
                  <c:v>LEAs</c:v>
                </c:pt>
              </c:strCache>
            </c:strRef>
          </c:tx>
          <c:spPr>
            <a:solidFill>
              <a:schemeClr val="accent2"/>
            </a:solidFill>
            <a:ln>
              <a:noFill/>
            </a:ln>
            <a:effectLst/>
          </c:spPr>
          <c:invertIfNegative val="0"/>
          <c:cat>
            <c:strRef>
              <c:f>Sheet1!$A$2:$A$6</c:f>
              <c:strCache>
                <c:ptCount val="5"/>
                <c:pt idx="0">
                  <c:v>1: Very low facilitation</c:v>
                </c:pt>
                <c:pt idx="1">
                  <c:v>2: Low facilitation </c:v>
                </c:pt>
                <c:pt idx="2">
                  <c:v>3: Moderate facilitation </c:v>
                </c:pt>
                <c:pt idx="3">
                  <c:v>4: High facilitation</c:v>
                </c:pt>
                <c:pt idx="4">
                  <c:v>5: Very high facilitation</c:v>
                </c:pt>
              </c:strCache>
            </c:strRef>
          </c:cat>
          <c:val>
            <c:numRef>
              <c:f>Sheet1!$C$2:$C$6</c:f>
              <c:numCache>
                <c:formatCode>General</c:formatCode>
                <c:ptCount val="5"/>
                <c:pt idx="0">
                  <c:v>2</c:v>
                </c:pt>
                <c:pt idx="1">
                  <c:v>2</c:v>
                </c:pt>
                <c:pt idx="2">
                  <c:v>6</c:v>
                </c:pt>
                <c:pt idx="3">
                  <c:v>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E77D-4D1E-9C31-90905F710187}"/>
            </c:ext>
          </c:extLst>
        </c:ser>
        <c:ser>
          <c:idx val="2"/>
          <c:order val="2"/>
          <c:tx>
            <c:strRef>
              <c:f>Sheet1!$D$1</c:f>
              <c:strCache>
                <c:ptCount val="1"/>
                <c:pt idx="0">
                  <c:v>NGOs</c:v>
                </c:pt>
              </c:strCache>
            </c:strRef>
          </c:tx>
          <c:spPr>
            <a:solidFill>
              <a:schemeClr val="accent3"/>
            </a:solidFill>
            <a:ln>
              <a:noFill/>
            </a:ln>
            <a:effectLst/>
          </c:spPr>
          <c:invertIfNegative val="0"/>
          <c:cat>
            <c:strRef>
              <c:f>Sheet1!$A$2:$A$6</c:f>
              <c:strCache>
                <c:ptCount val="5"/>
                <c:pt idx="0">
                  <c:v>1: Very low facilitation</c:v>
                </c:pt>
                <c:pt idx="1">
                  <c:v>2: Low facilitation </c:v>
                </c:pt>
                <c:pt idx="2">
                  <c:v>3: Moderate facilitation </c:v>
                </c:pt>
                <c:pt idx="3">
                  <c:v>4: High facilitation</c:v>
                </c:pt>
                <c:pt idx="4">
                  <c:v>5: Very high facilitation</c:v>
                </c:pt>
              </c:strCache>
            </c:strRef>
          </c:cat>
          <c:val>
            <c:numRef>
              <c:f>Sheet1!$D$2:$D$6</c:f>
              <c:numCache>
                <c:formatCode>General</c:formatCode>
                <c:ptCount val="5"/>
                <c:pt idx="1">
                  <c:v>1</c:v>
                </c:pt>
                <c:pt idx="3">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E77D-4D1E-9C31-90905F710187}"/>
            </c:ext>
          </c:extLst>
        </c:ser>
        <c:ser>
          <c:idx val="3"/>
          <c:order val="3"/>
          <c:tx>
            <c:strRef>
              <c:f>Sheet1!$E$1</c:f>
              <c:strCache>
                <c:ptCount val="1"/>
                <c:pt idx="0">
                  <c:v>Int Orgs</c:v>
                </c:pt>
              </c:strCache>
            </c:strRef>
          </c:tx>
          <c:spPr>
            <a:solidFill>
              <a:schemeClr val="accent4"/>
            </a:solidFill>
            <a:ln>
              <a:noFill/>
            </a:ln>
            <a:effectLst/>
          </c:spPr>
          <c:invertIfNegative val="0"/>
          <c:cat>
            <c:strRef>
              <c:f>Sheet1!$A$2:$A$6</c:f>
              <c:strCache>
                <c:ptCount val="5"/>
                <c:pt idx="0">
                  <c:v>1: Very low facilitation</c:v>
                </c:pt>
                <c:pt idx="1">
                  <c:v>2: Low facilitation </c:v>
                </c:pt>
                <c:pt idx="2">
                  <c:v>3: Moderate facilitation </c:v>
                </c:pt>
                <c:pt idx="3">
                  <c:v>4: High facilitation</c:v>
                </c:pt>
                <c:pt idx="4">
                  <c:v>5: Very high facilitation</c:v>
                </c:pt>
              </c:strCache>
            </c:strRef>
          </c:cat>
          <c:val>
            <c:numRef>
              <c:f>Sheet1!$E$2:$E$6</c:f>
              <c:numCache>
                <c:formatCode>General</c:formatCode>
                <c:ptCount val="5"/>
                <c:pt idx="1">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E77D-4D1E-9C31-90905F710187}"/>
            </c:ext>
          </c:extLst>
        </c:ser>
        <c:dLbls>
          <c:showLegendKey val="0"/>
          <c:showVal val="0"/>
          <c:showCatName val="0"/>
          <c:showSerName val="0"/>
          <c:showPercent val="0"/>
          <c:showBubbleSize val="0"/>
        </c:dLbls>
        <c:gapWidth val="219"/>
        <c:overlap val="-27"/>
        <c:axId val="849458079"/>
        <c:axId val="851837551"/>
      </c:barChart>
      <c:catAx>
        <c:axId val="8494580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1837551"/>
        <c:crosses val="autoZero"/>
        <c:auto val="1"/>
        <c:lblAlgn val="ctr"/>
        <c:lblOffset val="100"/>
        <c:noMultiLvlLbl val="0"/>
      </c:catAx>
      <c:valAx>
        <c:axId val="851837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94580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b="0" i="0" u="none" strike="noStrike" baseline="0">
                <a:effectLst/>
              </a:rPr>
              <a:t>National Authorities' Assessment of Cross-Border Cooperation Facilitation under Directive (EU) 1673/2018 (Judicial Authorities:7, LEAs:13, AROs:8, FIUs:11)</a:t>
            </a:r>
            <a:endParaRPr lang="en-US" sz="8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Judicial authorities</c:v>
                </c:pt>
              </c:strCache>
            </c:strRef>
          </c:tx>
          <c:spPr>
            <a:solidFill>
              <a:schemeClr val="accent1"/>
            </a:solidFill>
            <a:ln>
              <a:noFill/>
            </a:ln>
            <a:effectLst/>
          </c:spPr>
          <c:invertIfNegative val="0"/>
          <c:cat>
            <c:strRef>
              <c:f>Sheet1!$A$3:$A$6</c:f>
              <c:strCache>
                <c:ptCount val="4"/>
                <c:pt idx="0">
                  <c:v>2: Low facilitation</c:v>
                </c:pt>
                <c:pt idx="1">
                  <c:v>3: Moderate facilitation</c:v>
                </c:pt>
                <c:pt idx="2">
                  <c:v>4: High facilitation</c:v>
                </c:pt>
                <c:pt idx="3">
                  <c:v>5: Very high facilitation</c:v>
                </c:pt>
              </c:strCache>
            </c:strRef>
          </c:cat>
          <c:val>
            <c:numRef>
              <c:f>Sheet1!$B$3:$B$6</c:f>
              <c:numCache>
                <c:formatCode>General</c:formatCode>
                <c:ptCount val="4"/>
                <c:pt idx="0">
                  <c:v>1</c:v>
                </c:pt>
                <c:pt idx="1">
                  <c:v>2</c:v>
                </c:pt>
                <c:pt idx="2">
                  <c:v>1</c:v>
                </c:pt>
                <c:pt idx="3">
                  <c:v>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F10-4E20-8E17-96102D4B34F3}"/>
            </c:ext>
          </c:extLst>
        </c:ser>
        <c:ser>
          <c:idx val="1"/>
          <c:order val="1"/>
          <c:tx>
            <c:strRef>
              <c:f>Sheet1!$C$1</c:f>
              <c:strCache>
                <c:ptCount val="1"/>
                <c:pt idx="0">
                  <c:v>LEAs</c:v>
                </c:pt>
              </c:strCache>
            </c:strRef>
          </c:tx>
          <c:spPr>
            <a:solidFill>
              <a:schemeClr val="accent2"/>
            </a:solidFill>
            <a:ln>
              <a:noFill/>
            </a:ln>
            <a:effectLst/>
          </c:spPr>
          <c:invertIfNegative val="0"/>
          <c:cat>
            <c:strRef>
              <c:f>Sheet1!$A$3:$A$6</c:f>
              <c:strCache>
                <c:ptCount val="4"/>
                <c:pt idx="0">
                  <c:v>2: Low facilitation</c:v>
                </c:pt>
                <c:pt idx="1">
                  <c:v>3: Moderate facilitation</c:v>
                </c:pt>
                <c:pt idx="2">
                  <c:v>4: High facilitation</c:v>
                </c:pt>
                <c:pt idx="3">
                  <c:v>5: Very high facilitation</c:v>
                </c:pt>
              </c:strCache>
            </c:strRef>
          </c:cat>
          <c:val>
            <c:numRef>
              <c:f>Sheet1!$C$3:$C$6</c:f>
              <c:numCache>
                <c:formatCode>General</c:formatCode>
                <c:ptCount val="4"/>
                <c:pt idx="0">
                  <c:v>2</c:v>
                </c:pt>
                <c:pt idx="1">
                  <c:v>7</c:v>
                </c:pt>
                <c:pt idx="2">
                  <c:v>2</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F10-4E20-8E17-96102D4B34F3}"/>
            </c:ext>
          </c:extLst>
        </c:ser>
        <c:ser>
          <c:idx val="2"/>
          <c:order val="2"/>
          <c:tx>
            <c:strRef>
              <c:f>Sheet1!$D$1</c:f>
              <c:strCache>
                <c:ptCount val="1"/>
                <c:pt idx="0">
                  <c:v>AROs</c:v>
                </c:pt>
              </c:strCache>
            </c:strRef>
          </c:tx>
          <c:spPr>
            <a:solidFill>
              <a:schemeClr val="accent3"/>
            </a:solidFill>
            <a:ln>
              <a:noFill/>
            </a:ln>
            <a:effectLst/>
          </c:spPr>
          <c:invertIfNegative val="0"/>
          <c:cat>
            <c:strRef>
              <c:f>Sheet1!$A$3:$A$6</c:f>
              <c:strCache>
                <c:ptCount val="4"/>
                <c:pt idx="0">
                  <c:v>2: Low facilitation</c:v>
                </c:pt>
                <c:pt idx="1">
                  <c:v>3: Moderate facilitation</c:v>
                </c:pt>
                <c:pt idx="2">
                  <c:v>4: High facilitation</c:v>
                </c:pt>
                <c:pt idx="3">
                  <c:v>5: Very high facilitation</c:v>
                </c:pt>
              </c:strCache>
            </c:strRef>
          </c:cat>
          <c:val>
            <c:numRef>
              <c:f>Sheet1!$D$3:$D$6</c:f>
              <c:numCache>
                <c:formatCode>General</c:formatCode>
                <c:ptCount val="4"/>
                <c:pt idx="0">
                  <c:v>2</c:v>
                </c:pt>
                <c:pt idx="1">
                  <c:v>1</c:v>
                </c:pt>
                <c:pt idx="2">
                  <c:v>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F10-4E20-8E17-96102D4B34F3}"/>
            </c:ext>
          </c:extLst>
        </c:ser>
        <c:ser>
          <c:idx val="3"/>
          <c:order val="3"/>
          <c:tx>
            <c:strRef>
              <c:f>Sheet1!$E$1</c:f>
              <c:strCache>
                <c:ptCount val="1"/>
                <c:pt idx="0">
                  <c:v>FIUs</c:v>
                </c:pt>
              </c:strCache>
            </c:strRef>
          </c:tx>
          <c:spPr>
            <a:solidFill>
              <a:schemeClr val="accent4"/>
            </a:solidFill>
            <a:ln>
              <a:noFill/>
            </a:ln>
            <a:effectLst/>
          </c:spPr>
          <c:invertIfNegative val="0"/>
          <c:cat>
            <c:strRef>
              <c:f>Sheet1!$A$3:$A$6</c:f>
              <c:strCache>
                <c:ptCount val="4"/>
                <c:pt idx="0">
                  <c:v>2: Low facilitation</c:v>
                </c:pt>
                <c:pt idx="1">
                  <c:v>3: Moderate facilitation</c:v>
                </c:pt>
                <c:pt idx="2">
                  <c:v>4: High facilitation</c:v>
                </c:pt>
                <c:pt idx="3">
                  <c:v>5: Very high facilitation</c:v>
                </c:pt>
              </c:strCache>
            </c:strRef>
          </c:cat>
          <c:val>
            <c:numRef>
              <c:f>Sheet1!$E$3:$E$6</c:f>
              <c:numCache>
                <c:formatCode>General</c:formatCode>
                <c:ptCount val="4"/>
                <c:pt idx="0">
                  <c:v>3</c:v>
                </c:pt>
                <c:pt idx="1">
                  <c:v>3</c:v>
                </c:pt>
                <c:pt idx="2">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F10-4E20-8E17-96102D4B34F3}"/>
            </c:ext>
          </c:extLst>
        </c:ser>
        <c:dLbls>
          <c:showLegendKey val="0"/>
          <c:showVal val="0"/>
          <c:showCatName val="0"/>
          <c:showSerName val="0"/>
          <c:showPercent val="0"/>
          <c:showBubbleSize val="0"/>
        </c:dLbls>
        <c:gapWidth val="219"/>
        <c:overlap val="-27"/>
        <c:axId val="790117216"/>
        <c:axId val="886782800"/>
      </c:barChart>
      <c:catAx>
        <c:axId val="79011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6782800"/>
        <c:crosses val="autoZero"/>
        <c:auto val="1"/>
        <c:lblAlgn val="ctr"/>
        <c:lblOffset val="100"/>
        <c:noMultiLvlLbl val="0"/>
      </c:catAx>
      <c:valAx>
        <c:axId val="886782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011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money laundering cases,</a:t>
            </a:r>
            <a:r>
              <a:rPr lang="en-US" baseline="0"/>
              <a:t> per year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3"/>
            </a:solidFill>
            <a:ln>
              <a:noFill/>
            </a:ln>
            <a:effectLst/>
          </c:spPr>
          <c:invertIfNegative val="0"/>
          <c:cat>
            <c:numRef>
              <c:f>Sheet1!$A$2:$A$11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Sheet1!$B$2:$B$11</c:f>
              <c:numCache>
                <c:formatCode>General</c:formatCode>
                <c:ptCount val="10"/>
                <c:pt idx="0">
                  <c:v>315</c:v>
                </c:pt>
                <c:pt idx="1">
                  <c:v>334</c:v>
                </c:pt>
                <c:pt idx="2">
                  <c:v>436</c:v>
                </c:pt>
                <c:pt idx="3">
                  <c:v>531</c:v>
                </c:pt>
                <c:pt idx="4">
                  <c:v>607</c:v>
                </c:pt>
                <c:pt idx="5">
                  <c:v>651</c:v>
                </c:pt>
                <c:pt idx="6">
                  <c:v>694</c:v>
                </c:pt>
                <c:pt idx="7">
                  <c:v>837</c:v>
                </c:pt>
                <c:pt idx="8">
                  <c:v>726</c:v>
                </c:pt>
                <c:pt idx="9">
                  <c:v>808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D8C-4ACE-B1A3-8C28909ED8D2}"/>
            </c:ext>
          </c:extLst>
        </c:ser>
        <c:dLbls>
          <c:showLegendKey val="0"/>
          <c:showVal val="0"/>
          <c:showCatName val="0"/>
          <c:showSerName val="0"/>
          <c:showPercent val="0"/>
          <c:showBubbleSize val="0"/>
        </c:dLbls>
        <c:gapWidth val="219"/>
        <c:overlap val="-27"/>
        <c:axId val="404271199"/>
        <c:axId val="404283199"/>
      </c:barChart>
      <c:catAx>
        <c:axId val="404271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83199"/>
        <c:crosses val="autoZero"/>
        <c:auto val="1"/>
        <c:lblAlgn val="ctr"/>
        <c:lblOffset val="100"/>
        <c:noMultiLvlLbl val="0"/>
      </c:catAx>
      <c:valAx>
        <c:axId val="404283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271199"/>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800" b="0" i="0" u="none" strike="noStrike" kern="1200" spc="0" baseline="0">
                <a:solidFill>
                  <a:sysClr val="windowText" lastClr="000000">
                    <a:lumMod val="65000"/>
                    <a:lumOff val="35000"/>
                  </a:sysClr>
                </a:solidFill>
                <a:effectLst/>
              </a:rPr>
              <a:t>National Authorities' Assessment of International Cooperation Facilitation under Directive (EU) 1673/2018 </a:t>
            </a:r>
            <a:br>
              <a:rPr lang="en-US" sz="800" b="0" i="0" u="none" strike="noStrike" kern="1200" spc="0" baseline="0">
                <a:solidFill>
                  <a:sysClr val="windowText" lastClr="000000">
                    <a:lumMod val="65000"/>
                    <a:lumOff val="35000"/>
                  </a:sysClr>
                </a:solidFill>
                <a:effectLst/>
              </a:rPr>
            </a:br>
            <a:r>
              <a:rPr lang="en-US" sz="800" b="0" i="0" u="none" strike="noStrike" kern="1200" spc="0" baseline="0">
                <a:solidFill>
                  <a:sysClr val="windowText" lastClr="000000">
                    <a:lumMod val="65000"/>
                    <a:lumOff val="35000"/>
                  </a:sysClr>
                </a:solidFill>
                <a:effectLst/>
              </a:rPr>
              <a:t>(Judicial Authorities:7, LEAs: 13, AROs:8)</a:t>
            </a:r>
            <a:endParaRPr lang="en-US" sz="800" b="0" i="0" u="none" strike="noStrike" kern="1200" spc="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Judicial authorities</c:v>
                </c:pt>
              </c:strCache>
            </c:strRef>
          </c:tx>
          <c:spPr>
            <a:solidFill>
              <a:schemeClr val="accent1"/>
            </a:solidFill>
            <a:ln>
              <a:noFill/>
            </a:ln>
            <a:effectLst/>
          </c:spPr>
          <c:invertIfNegative val="0"/>
          <c:cat>
            <c:strRef>
              <c:f>Sheet1!$A$3:$A$6</c:f>
              <c:strCache>
                <c:ptCount val="4"/>
                <c:pt idx="0">
                  <c:v>2: Low level of facilitation </c:v>
                </c:pt>
                <c:pt idx="1">
                  <c:v>3: Moderate facilitation</c:v>
                </c:pt>
                <c:pt idx="2">
                  <c:v>4: High level of facilitation</c:v>
                </c:pt>
                <c:pt idx="3">
                  <c:v>5: Very high level of facilitation</c:v>
                </c:pt>
              </c:strCache>
            </c:strRef>
          </c:cat>
          <c:val>
            <c:numRef>
              <c:f>Sheet1!$B$3:$B$6</c:f>
              <c:numCache>
                <c:formatCode>General</c:formatCode>
                <c:ptCount val="4"/>
                <c:pt idx="0">
                  <c:v>2</c:v>
                </c:pt>
                <c:pt idx="1">
                  <c:v>3</c:v>
                </c:pt>
                <c:pt idx="3">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300-4DD5-B9AF-78E5C6FD4E79}"/>
            </c:ext>
          </c:extLst>
        </c:ser>
        <c:ser>
          <c:idx val="1"/>
          <c:order val="1"/>
          <c:tx>
            <c:strRef>
              <c:f>Sheet1!$C$1</c:f>
              <c:strCache>
                <c:ptCount val="1"/>
                <c:pt idx="0">
                  <c:v>LEAs</c:v>
                </c:pt>
              </c:strCache>
            </c:strRef>
          </c:tx>
          <c:spPr>
            <a:solidFill>
              <a:schemeClr val="accent2"/>
            </a:solidFill>
            <a:ln>
              <a:noFill/>
            </a:ln>
            <a:effectLst/>
          </c:spPr>
          <c:invertIfNegative val="0"/>
          <c:cat>
            <c:strRef>
              <c:f>Sheet1!$A$3:$A$6</c:f>
              <c:strCache>
                <c:ptCount val="4"/>
                <c:pt idx="0">
                  <c:v>2: Low level of facilitation </c:v>
                </c:pt>
                <c:pt idx="1">
                  <c:v>3: Moderate facilitation</c:v>
                </c:pt>
                <c:pt idx="2">
                  <c:v>4: High level of facilitation</c:v>
                </c:pt>
                <c:pt idx="3">
                  <c:v>5: Very high level of facilitation</c:v>
                </c:pt>
              </c:strCache>
            </c:strRef>
          </c:cat>
          <c:val>
            <c:numRef>
              <c:f>Sheet1!$C$3:$C$6</c:f>
              <c:numCache>
                <c:formatCode>General</c:formatCode>
                <c:ptCount val="4"/>
                <c:pt idx="0">
                  <c:v>2</c:v>
                </c:pt>
                <c:pt idx="1">
                  <c:v>7</c:v>
                </c:pt>
                <c:pt idx="2">
                  <c:v>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300-4DD5-B9AF-78E5C6FD4E79}"/>
            </c:ext>
          </c:extLst>
        </c:ser>
        <c:ser>
          <c:idx val="2"/>
          <c:order val="2"/>
          <c:tx>
            <c:strRef>
              <c:f>Sheet1!$D$1</c:f>
              <c:strCache>
                <c:ptCount val="1"/>
                <c:pt idx="0">
                  <c:v>AROs</c:v>
                </c:pt>
              </c:strCache>
            </c:strRef>
          </c:tx>
          <c:spPr>
            <a:solidFill>
              <a:schemeClr val="accent3"/>
            </a:solidFill>
            <a:ln>
              <a:noFill/>
            </a:ln>
            <a:effectLst/>
          </c:spPr>
          <c:invertIfNegative val="0"/>
          <c:cat>
            <c:strRef>
              <c:f>Sheet1!$A$3:$A$6</c:f>
              <c:strCache>
                <c:ptCount val="4"/>
                <c:pt idx="0">
                  <c:v>2: Low level of facilitation </c:v>
                </c:pt>
                <c:pt idx="1">
                  <c:v>3: Moderate facilitation</c:v>
                </c:pt>
                <c:pt idx="2">
                  <c:v>4: High level of facilitation</c:v>
                </c:pt>
                <c:pt idx="3">
                  <c:v>5: Very high level of facilitation</c:v>
                </c:pt>
              </c:strCache>
            </c:strRef>
          </c:cat>
          <c:val>
            <c:numRef>
              <c:f>Sheet1!$D$3:$D$6</c:f>
              <c:numCache>
                <c:formatCode>General</c:formatCode>
                <c:ptCount val="4"/>
                <c:pt idx="0">
                  <c:v>1</c:v>
                </c:pt>
                <c:pt idx="1">
                  <c:v>2</c:v>
                </c:pt>
                <c:pt idx="2">
                  <c:v>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B300-4DD5-B9AF-78E5C6FD4E79}"/>
            </c:ext>
          </c:extLst>
        </c:ser>
        <c:dLbls>
          <c:showLegendKey val="0"/>
          <c:showVal val="0"/>
          <c:showCatName val="0"/>
          <c:showSerName val="0"/>
          <c:showPercent val="0"/>
          <c:showBubbleSize val="0"/>
        </c:dLbls>
        <c:gapWidth val="219"/>
        <c:overlap val="-27"/>
        <c:axId val="566726032"/>
        <c:axId val="822909616"/>
      </c:barChart>
      <c:catAx>
        <c:axId val="56672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2909616"/>
        <c:crosses val="autoZero"/>
        <c:auto val="1"/>
        <c:lblAlgn val="ctr"/>
        <c:lblOffset val="100"/>
        <c:noMultiLvlLbl val="0"/>
      </c:catAx>
      <c:valAx>
        <c:axId val="822909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672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en-IE" sz="1000">
                <a:latin typeface="Verdana" panose="020B0604030504040204" pitchFamily="34" charset="0"/>
                <a:ea typeface="Verdana" panose="020B0604030504040204" pitchFamily="34" charset="0"/>
              </a:rPr>
              <a:t>Implementation</a:t>
            </a:r>
            <a:r>
              <a:rPr lang="en-IE" sz="1000" baseline="0">
                <a:latin typeface="Verdana" panose="020B0604030504040204" pitchFamily="34" charset="0"/>
                <a:ea typeface="Verdana" panose="020B0604030504040204" pitchFamily="34" charset="0"/>
              </a:rPr>
              <a:t> costs of Directive (EU) 2018/1673 for the law enforcement authorities of the Member State</a:t>
            </a:r>
            <a:endParaRPr lang="en-IE" sz="1000">
              <a:latin typeface="Verdana" panose="020B0604030504040204" pitchFamily="34" charset="0"/>
              <a:ea typeface="Verdana" panose="020B0604030504040204" pitchFamily="34" charset="0"/>
            </a:endParaRP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title>
    <c:autoTitleDeleted val="0"/>
    <c:plotArea>
      <c:layout/>
      <c:barChart>
        <c:barDir val="col"/>
        <c:grouping val="clustered"/>
        <c:varyColors val="0"/>
        <c:ser>
          <c:idx val="0"/>
          <c:order val="0"/>
          <c:tx>
            <c:strRef>
              <c:f>Sheet1!$B$1</c:f>
              <c:strCache>
                <c:ptCount val="1"/>
                <c:pt idx="0">
                  <c:v>No</c:v>
                </c:pt>
              </c:strCache>
            </c:strRef>
          </c:tx>
          <c:spPr>
            <a:solidFill>
              <a:schemeClr val="accent3"/>
            </a:solidFill>
            <a:ln>
              <a:noFill/>
            </a:ln>
            <a:effectLst/>
          </c:spPr>
          <c:invertIfNegative val="0"/>
          <c:cat>
            <c:strRef>
              <c:f>Sheet1!$A$2:$A$4</c:f>
              <c:strCache>
                <c:ptCount val="3"/>
                <c:pt idx="0">
                  <c:v>FIUs</c:v>
                </c:pt>
                <c:pt idx="1">
                  <c:v>Judicial authorities</c:v>
                </c:pt>
                <c:pt idx="2">
                  <c:v>LEAs</c:v>
                </c:pt>
              </c:strCache>
            </c:strRef>
          </c:cat>
          <c:val>
            <c:numRef>
              <c:f>Sheet1!$B$2:$B$4</c:f>
              <c:numCache>
                <c:formatCode>General</c:formatCode>
                <c:ptCount val="3"/>
                <c:pt idx="0">
                  <c:v>3</c:v>
                </c:pt>
                <c:pt idx="1">
                  <c:v>3</c:v>
                </c:pt>
                <c:pt idx="2">
                  <c:v>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FB7-48E6-A69E-8D409D82128B}"/>
            </c:ext>
          </c:extLst>
        </c:ser>
        <c:ser>
          <c:idx val="1"/>
          <c:order val="1"/>
          <c:tx>
            <c:strRef>
              <c:f>Sheet1!$C$1</c:f>
              <c:strCache>
                <c:ptCount val="1"/>
                <c:pt idx="0">
                  <c:v>Yes</c:v>
                </c:pt>
              </c:strCache>
            </c:strRef>
          </c:tx>
          <c:spPr>
            <a:solidFill>
              <a:srgbClr val="006600"/>
            </a:solidFill>
            <a:ln>
              <a:noFill/>
            </a:ln>
            <a:effectLst/>
          </c:spPr>
          <c:invertIfNegative val="0"/>
          <c:cat>
            <c:strRef>
              <c:f>Sheet1!$A$2:$A$4</c:f>
              <c:strCache>
                <c:ptCount val="3"/>
                <c:pt idx="0">
                  <c:v>FIUs</c:v>
                </c:pt>
                <c:pt idx="1">
                  <c:v>Judicial authorities</c:v>
                </c:pt>
                <c:pt idx="2">
                  <c:v>LEAs</c:v>
                </c:pt>
              </c:strCache>
            </c:strRef>
          </c:cat>
          <c:val>
            <c:numRef>
              <c:f>Sheet1!$C$2:$C$4</c:f>
              <c:numCache>
                <c:formatCode>General</c:formatCode>
                <c:ptCount val="3"/>
                <c:pt idx="0">
                  <c:v>1</c:v>
                </c:pt>
                <c:pt idx="1">
                  <c:v>0</c:v>
                </c:pt>
                <c:pt idx="2">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FB7-48E6-A69E-8D409D82128B}"/>
            </c:ext>
          </c:extLst>
        </c:ser>
        <c:dLbls>
          <c:showLegendKey val="0"/>
          <c:showVal val="0"/>
          <c:showCatName val="0"/>
          <c:showSerName val="0"/>
          <c:showPercent val="0"/>
          <c:showBubbleSize val="0"/>
        </c:dLbls>
        <c:gapWidth val="219"/>
        <c:overlap val="-27"/>
        <c:axId val="687602320"/>
        <c:axId val="687602800"/>
      </c:barChart>
      <c:catAx>
        <c:axId val="687602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687602800"/>
        <c:crosses val="autoZero"/>
        <c:auto val="1"/>
        <c:lblAlgn val="ctr"/>
        <c:lblOffset val="100"/>
        <c:noMultiLvlLbl val="0"/>
      </c:catAx>
      <c:valAx>
        <c:axId val="687602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687602320"/>
        <c:crosses val="autoZero"/>
        <c:crossBetween val="between"/>
        <c:majorUnit val="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mn-cs"/>
              </a:defRPr>
            </a:pPr>
            <a:r>
              <a:rPr lang="en-US" sz="10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If aspects of Directive (EU) 2018/1673 represent an outsized administrative burden</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cs typeface="+mn-cs"/>
            </a:defRPr>
          </a:pPr>
          <a:endParaRPr lang="en-US"/>
        </a:p>
      </c:txPr>
    </c:title>
    <c:autoTitleDeleted val="0"/>
    <c:plotArea>
      <c:layout/>
      <c:barChart>
        <c:barDir val="col"/>
        <c:grouping val="clustered"/>
        <c:varyColors val="0"/>
        <c:ser>
          <c:idx val="0"/>
          <c:order val="0"/>
          <c:tx>
            <c:strRef>
              <c:f>Sheet1!$B$1</c:f>
              <c:strCache>
                <c:ptCount val="1"/>
                <c:pt idx="0">
                  <c:v>No</c:v>
                </c:pt>
              </c:strCache>
            </c:strRef>
          </c:tx>
          <c:spPr>
            <a:solidFill>
              <a:schemeClr val="accent3"/>
            </a:solidFill>
            <a:ln>
              <a:noFill/>
            </a:ln>
            <a:effectLst/>
          </c:spPr>
          <c:invertIfNegative val="0"/>
          <c:cat>
            <c:strRef>
              <c:f>Sheet1!$A$2:$A$5</c:f>
              <c:strCache>
                <c:ptCount val="4"/>
                <c:pt idx="0">
                  <c:v>AROs</c:v>
                </c:pt>
                <c:pt idx="1">
                  <c:v>Judicial authorities</c:v>
                </c:pt>
                <c:pt idx="2">
                  <c:v>LEAs</c:v>
                </c:pt>
                <c:pt idx="3">
                  <c:v>FIUs</c:v>
                </c:pt>
              </c:strCache>
            </c:strRef>
          </c:cat>
          <c:val>
            <c:numRef>
              <c:f>Sheet1!$B$2:$B$5</c:f>
              <c:numCache>
                <c:formatCode>General</c:formatCode>
                <c:ptCount val="4"/>
                <c:pt idx="0">
                  <c:v>8</c:v>
                </c:pt>
                <c:pt idx="1">
                  <c:v>5</c:v>
                </c:pt>
                <c:pt idx="2">
                  <c:v>14</c:v>
                </c:pt>
                <c:pt idx="3">
                  <c:v>11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3CF-495A-A56D-0156C61919C7}"/>
            </c:ext>
          </c:extLst>
        </c:ser>
        <c:ser>
          <c:idx val="1"/>
          <c:order val="1"/>
          <c:tx>
            <c:strRef>
              <c:f>Sheet1!$C$1</c:f>
              <c:strCache>
                <c:ptCount val="1"/>
                <c:pt idx="0">
                  <c:v>Yes</c:v>
                </c:pt>
              </c:strCache>
            </c:strRef>
          </c:tx>
          <c:spPr>
            <a:solidFill>
              <a:schemeClr val="accent3">
                <a:lumMod val="75000"/>
              </a:schemeClr>
            </a:solidFill>
            <a:ln>
              <a:noFill/>
            </a:ln>
            <a:effectLst/>
          </c:spPr>
          <c:invertIfNegative val="0"/>
          <c:dPt>
            <c:idx val="2"/>
            <c:invertIfNegative val="0"/>
            <c:bubble3D val="0"/>
            <c:spPr>
              <a:solidFill>
                <a:srgbClr val="008000"/>
              </a:solid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93CF-495A-A56D-0156C61919C7}"/>
              </c:ext>
            </c:extLst>
          </c:dPt>
          <c:cat>
            <c:strRef>
              <c:f>Sheet1!$A$2:$A$5</c:f>
              <c:strCache>
                <c:ptCount val="4"/>
                <c:pt idx="0">
                  <c:v>AROs</c:v>
                </c:pt>
                <c:pt idx="1">
                  <c:v>Judicial authorities</c:v>
                </c:pt>
                <c:pt idx="2">
                  <c:v>LEAs</c:v>
                </c:pt>
                <c:pt idx="3">
                  <c:v>FIUs</c:v>
                </c:pt>
              </c:strCache>
            </c:strRef>
          </c:cat>
          <c:val>
            <c:numRef>
              <c:f>Sheet1!$C$2:$C$5</c:f>
              <c:numCache>
                <c:formatCode>General</c:formatCode>
                <c:ptCount val="4"/>
                <c:pt idx="0">
                  <c:v>0</c:v>
                </c:pt>
                <c:pt idx="1">
                  <c:v>0</c:v>
                </c:pt>
                <c:pt idx="2">
                  <c:v>1</c:v>
                </c:pt>
                <c:pt idx="3">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3CF-495A-A56D-0156C61919C7}"/>
            </c:ext>
          </c:extLst>
        </c:ser>
        <c:dLbls>
          <c:showLegendKey val="0"/>
          <c:showVal val="0"/>
          <c:showCatName val="0"/>
          <c:showSerName val="0"/>
          <c:showPercent val="0"/>
          <c:showBubbleSize val="0"/>
        </c:dLbls>
        <c:gapWidth val="219"/>
        <c:overlap val="-27"/>
        <c:axId val="51533007"/>
        <c:axId val="51528687"/>
      </c:barChart>
      <c:catAx>
        <c:axId val="51533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1528687"/>
        <c:crosses val="autoZero"/>
        <c:auto val="1"/>
        <c:lblAlgn val="ctr"/>
        <c:lblOffset val="100"/>
        <c:noMultiLvlLbl val="0"/>
      </c:catAx>
      <c:valAx>
        <c:axId val="51528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51533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Data</c:v>
                </c:pt>
              </c:strCache>
            </c:strRef>
          </c:tx>
          <c:spPr>
            <a:solidFill>
              <a:schemeClr val="accent3"/>
            </a:solidFill>
            <a:ln>
              <a:noFill/>
            </a:ln>
            <a:effectLst/>
          </c:spPr>
          <c:invertIfNegative val="0"/>
          <c:cat>
            <c:strRef>
              <c:f>Sheet1!$A$2:$A$5</c:f>
              <c:strCache>
                <c:ptCount val="4"/>
                <c:pt idx="0">
                  <c:v>AROs</c:v>
                </c:pt>
                <c:pt idx="1">
                  <c:v>FIUs</c:v>
                </c:pt>
                <c:pt idx="2">
                  <c:v>Judicial authorities</c:v>
                </c:pt>
                <c:pt idx="3">
                  <c:v>LEAs</c:v>
                </c:pt>
              </c:strCache>
            </c:strRef>
          </c:cat>
          <c:val>
            <c:numRef>
              <c:f>Sheet1!$B$2:$B$5</c:f>
              <c:numCache>
                <c:formatCode>General</c:formatCode>
                <c:ptCount val="4"/>
                <c:pt idx="0">
                  <c:v>4</c:v>
                </c:pt>
                <c:pt idx="1">
                  <c:v>8</c:v>
                </c:pt>
                <c:pt idx="2">
                  <c:v>1</c:v>
                </c:pt>
                <c:pt idx="3">
                  <c:v>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D12D-4189-AFA4-8DCD0FD9710C}"/>
            </c:ext>
          </c:extLst>
        </c:ser>
        <c:ser>
          <c:idx val="1"/>
          <c:order val="1"/>
          <c:tx>
            <c:strRef>
              <c:f>Sheet1!$C$1</c:f>
              <c:strCache>
                <c:ptCount val="1"/>
                <c:pt idx="0">
                  <c:v>No effects</c:v>
                </c:pt>
              </c:strCache>
            </c:strRef>
          </c:tx>
          <c:spPr>
            <a:solidFill>
              <a:srgbClr val="008000"/>
            </a:solidFill>
            <a:ln>
              <a:noFill/>
            </a:ln>
            <a:effectLst/>
          </c:spPr>
          <c:invertIfNegative val="0"/>
          <c:cat>
            <c:strRef>
              <c:f>Sheet1!$A$2:$A$5</c:f>
              <c:strCache>
                <c:ptCount val="4"/>
                <c:pt idx="0">
                  <c:v>AROs</c:v>
                </c:pt>
                <c:pt idx="1">
                  <c:v>FIUs</c:v>
                </c:pt>
                <c:pt idx="2">
                  <c:v>Judicial authorities</c:v>
                </c:pt>
                <c:pt idx="3">
                  <c:v>LEAs</c:v>
                </c:pt>
              </c:strCache>
            </c:strRef>
          </c:cat>
          <c:val>
            <c:numRef>
              <c:f>Sheet1!$C$2:$C$5</c:f>
              <c:numCache>
                <c:formatCode>General</c:formatCode>
                <c:ptCount val="4"/>
                <c:pt idx="0">
                  <c:v>4</c:v>
                </c:pt>
                <c:pt idx="1">
                  <c:v>3</c:v>
                </c:pt>
                <c:pt idx="2">
                  <c:v>4</c:v>
                </c:pt>
                <c:pt idx="3">
                  <c:v>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12D-4189-AFA4-8DCD0FD9710C}"/>
            </c:ext>
          </c:extLst>
        </c:ser>
        <c:dLbls>
          <c:showLegendKey val="0"/>
          <c:showVal val="0"/>
          <c:showCatName val="0"/>
          <c:showSerName val="0"/>
          <c:showPercent val="0"/>
          <c:showBubbleSize val="0"/>
        </c:dLbls>
        <c:gapWidth val="219"/>
        <c:overlap val="-27"/>
        <c:axId val="1347663343"/>
        <c:axId val="1347672463"/>
      </c:barChart>
      <c:catAx>
        <c:axId val="1347663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47672463"/>
        <c:crosses val="autoZero"/>
        <c:auto val="1"/>
        <c:lblAlgn val="ctr"/>
        <c:lblOffset val="100"/>
        <c:noMultiLvlLbl val="0"/>
      </c:catAx>
      <c:valAx>
        <c:axId val="13476724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47663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 Data</c:v>
                </c:pt>
              </c:strCache>
            </c:strRef>
          </c:tx>
          <c:spPr>
            <a:solidFill>
              <a:schemeClr val="accent3"/>
            </a:solidFill>
            <a:ln>
              <a:noFill/>
            </a:ln>
            <a:effectLst/>
          </c:spPr>
          <c:invertIfNegative val="0"/>
          <c:cat>
            <c:strRef>
              <c:f>Sheet1!$A$2:$A$3</c:f>
              <c:strCache>
                <c:ptCount val="2"/>
                <c:pt idx="0">
                  <c:v>Judicial authorities</c:v>
                </c:pt>
                <c:pt idx="1">
                  <c:v>LEAs</c:v>
                </c:pt>
              </c:strCache>
            </c:strRef>
          </c:cat>
          <c:val>
            <c:numRef>
              <c:f>Sheet1!$B$2:$B$3</c:f>
              <c:numCache>
                <c:formatCode>General</c:formatCode>
                <c:ptCount val="2"/>
                <c:pt idx="0">
                  <c:v>2</c:v>
                </c:pt>
                <c:pt idx="1">
                  <c:v>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5EB-4194-BCA9-FB0FE295B1F8}"/>
            </c:ext>
          </c:extLst>
        </c:ser>
        <c:ser>
          <c:idx val="1"/>
          <c:order val="1"/>
          <c:tx>
            <c:strRef>
              <c:f>Sheet1!$C$1</c:f>
              <c:strCache>
                <c:ptCount val="1"/>
                <c:pt idx="0">
                  <c:v>No effects</c:v>
                </c:pt>
              </c:strCache>
            </c:strRef>
          </c:tx>
          <c:spPr>
            <a:solidFill>
              <a:srgbClr val="008000"/>
            </a:solidFill>
            <a:ln>
              <a:noFill/>
            </a:ln>
            <a:effectLst/>
          </c:spPr>
          <c:invertIfNegative val="0"/>
          <c:cat>
            <c:strRef>
              <c:f>Sheet1!$A$2:$A$3</c:f>
              <c:strCache>
                <c:ptCount val="2"/>
                <c:pt idx="0">
                  <c:v>Judicial authorities</c:v>
                </c:pt>
                <c:pt idx="1">
                  <c:v>LEAs</c:v>
                </c:pt>
              </c:strCache>
            </c:strRef>
          </c:cat>
          <c:val>
            <c:numRef>
              <c:f>Sheet1!$C$2:$C$3</c:f>
              <c:numCache>
                <c:formatCode>General</c:formatCode>
                <c:ptCount val="2"/>
                <c:pt idx="0">
                  <c:v>5</c:v>
                </c:pt>
                <c:pt idx="1">
                  <c:v>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5EB-4194-BCA9-FB0FE295B1F8}"/>
            </c:ext>
          </c:extLst>
        </c:ser>
        <c:dLbls>
          <c:showLegendKey val="0"/>
          <c:showVal val="0"/>
          <c:showCatName val="0"/>
          <c:showSerName val="0"/>
          <c:showPercent val="0"/>
          <c:showBubbleSize val="0"/>
        </c:dLbls>
        <c:gapWidth val="219"/>
        <c:overlap val="-27"/>
        <c:axId val="1347667183"/>
        <c:axId val="1347670063"/>
      </c:barChart>
      <c:catAx>
        <c:axId val="1347667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7670063"/>
        <c:crosses val="autoZero"/>
        <c:auto val="1"/>
        <c:lblAlgn val="ctr"/>
        <c:lblOffset val="100"/>
        <c:noMultiLvlLbl val="0"/>
      </c:catAx>
      <c:valAx>
        <c:axId val="1347670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47667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D344-4B4C-BAEE-97F5111552C6}"/>
              </c:ext>
            </c:extLst>
          </c:dPt>
          <c:dPt>
            <c:idx val="1"/>
            <c:bubble3D val="0"/>
            <c:spPr>
              <a:solidFill>
                <a:schemeClr val="accent2"/>
              </a:solidFill>
              <a:ln w="19050">
                <a:solidFill>
                  <a:schemeClr val="lt1"/>
                </a:solid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D344-4B4C-BAEE-97F5111552C6}"/>
              </c:ext>
            </c:extLst>
          </c:dPt>
          <c:cat>
            <c:strRef>
              <c:f>'Exp. self laundering FR'!$O$3:$O$4</c:f>
              <c:strCache>
                <c:ptCount val="2"/>
                <c:pt idx="0">
                  <c:v>No</c:v>
                </c:pt>
                <c:pt idx="1">
                  <c:v>Yes</c:v>
                </c:pt>
              </c:strCache>
            </c:strRef>
          </c:cat>
          <c:val>
            <c:numRef>
              <c:f>'Exp. self laundering FR'!$P$3:$P$4</c:f>
              <c:numCache>
                <c:formatCode>General</c:formatCode>
                <c:ptCount val="2"/>
                <c:pt idx="0">
                  <c:v>9</c:v>
                </c:pt>
                <c:pt idx="1">
                  <c:v>4</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D344-4B4C-BAEE-97F5111552C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Deloitte colors">
    <a:dk1>
      <a:sysClr val="windowText" lastClr="000000"/>
    </a:dk1>
    <a:lt1>
      <a:sysClr val="window" lastClr="FFFFFF"/>
    </a:lt1>
    <a:dk2>
      <a:srgbClr val="53565A"/>
    </a:dk2>
    <a:lt2>
      <a:srgbClr val="D0D0CE"/>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53565A"/>
    </a:folHlink>
  </a:clrScheme>
  <a:fontScheme name="Deloitt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Deloitte colors">
    <a:dk1>
      <a:sysClr val="windowText" lastClr="000000"/>
    </a:dk1>
    <a:lt1>
      <a:sysClr val="window" lastClr="FFFFFF"/>
    </a:lt1>
    <a:dk2>
      <a:srgbClr val="53565A"/>
    </a:dk2>
    <a:lt2>
      <a:srgbClr val="D0D0CE"/>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53565A"/>
    </a:folHlink>
  </a:clrScheme>
  <a:fontScheme name="Deloitt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Deloitte colors">
    <a:dk1>
      <a:sysClr val="windowText" lastClr="000000"/>
    </a:dk1>
    <a:lt1>
      <a:sysClr val="window" lastClr="FFFFFF"/>
    </a:lt1>
    <a:dk2>
      <a:srgbClr val="53565A"/>
    </a:dk2>
    <a:lt2>
      <a:srgbClr val="D0D0CE"/>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53565A"/>
    </a:folHlink>
  </a:clrScheme>
  <a:fontScheme name="Deloitt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Deloitte colors">
    <a:dk1>
      <a:sysClr val="windowText" lastClr="000000"/>
    </a:dk1>
    <a:lt1>
      <a:sysClr val="window" lastClr="FFFFFF"/>
    </a:lt1>
    <a:dk2>
      <a:srgbClr val="53565A"/>
    </a:dk2>
    <a:lt2>
      <a:srgbClr val="D0D0CE"/>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53565A"/>
    </a:folHlink>
  </a:clrScheme>
  <a:fontScheme name="Deloitt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e5753a5ba36c07f3caf444461acd0766">
  <xsd:schema xmlns:xsd="http://www.w3.org/2001/XMLSchema" xmlns:xs="http://www.w3.org/2001/XMLSchema" xmlns:p="http://schemas.microsoft.com/office/2006/metadata/properties" xmlns:ns2="aecc2f25-bdff-447c-a363-d6113a15eb9a" targetNamespace="http://schemas.microsoft.com/office/2006/metadata/properties" ma:root="true" ma:fieldsID="890e56ba86fe906df91419f4d1a8d1eb"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D7E89-8583-41E5-BEA4-AEC6DD7503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9C3CF3-2245-48EC-86B0-AEC761BF7B47}">
  <ds:schemaRefs>
    <ds:schemaRef ds:uri="http://schemas.microsoft.com/sharepoint/v3/contenttype/forms"/>
  </ds:schemaRefs>
</ds:datastoreItem>
</file>

<file path=customXml/itemProps3.xml><?xml version="1.0" encoding="utf-8"?>
<ds:datastoreItem xmlns:ds="http://schemas.openxmlformats.org/officeDocument/2006/customXml" ds:itemID="{7526205F-39A3-472F-814B-557C05D25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0526CD-1521-42C0-899C-36F9CCCA1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31</Pages>
  <Words>26309</Words>
  <Characters>149962</Characters>
  <Application>Microsoft Office Word</Application>
  <DocSecurity>0</DocSecurity>
  <Lines>1249</Lines>
  <Paragraphs>351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175920</CharactersWithSpaces>
  <SharedDoc>false</SharedDoc>
  <HLinks>
    <vt:vector size="324" baseType="variant">
      <vt:variant>
        <vt:i4>1966138</vt:i4>
      </vt:variant>
      <vt:variant>
        <vt:i4>284</vt:i4>
      </vt:variant>
      <vt:variant>
        <vt:i4>0</vt:i4>
      </vt:variant>
      <vt:variant>
        <vt:i4>5</vt:i4>
      </vt:variant>
      <vt:variant>
        <vt:lpwstr/>
      </vt:variant>
      <vt:variant>
        <vt:lpwstr>_Toc222836959</vt:lpwstr>
      </vt:variant>
      <vt:variant>
        <vt:i4>1966138</vt:i4>
      </vt:variant>
      <vt:variant>
        <vt:i4>278</vt:i4>
      </vt:variant>
      <vt:variant>
        <vt:i4>0</vt:i4>
      </vt:variant>
      <vt:variant>
        <vt:i4>5</vt:i4>
      </vt:variant>
      <vt:variant>
        <vt:lpwstr/>
      </vt:variant>
      <vt:variant>
        <vt:lpwstr>_Toc222836958</vt:lpwstr>
      </vt:variant>
      <vt:variant>
        <vt:i4>1966138</vt:i4>
      </vt:variant>
      <vt:variant>
        <vt:i4>272</vt:i4>
      </vt:variant>
      <vt:variant>
        <vt:i4>0</vt:i4>
      </vt:variant>
      <vt:variant>
        <vt:i4>5</vt:i4>
      </vt:variant>
      <vt:variant>
        <vt:lpwstr/>
      </vt:variant>
      <vt:variant>
        <vt:lpwstr>_Toc222836957</vt:lpwstr>
      </vt:variant>
      <vt:variant>
        <vt:i4>1966138</vt:i4>
      </vt:variant>
      <vt:variant>
        <vt:i4>266</vt:i4>
      </vt:variant>
      <vt:variant>
        <vt:i4>0</vt:i4>
      </vt:variant>
      <vt:variant>
        <vt:i4>5</vt:i4>
      </vt:variant>
      <vt:variant>
        <vt:lpwstr/>
      </vt:variant>
      <vt:variant>
        <vt:lpwstr>_Toc222836956</vt:lpwstr>
      </vt:variant>
      <vt:variant>
        <vt:i4>1966138</vt:i4>
      </vt:variant>
      <vt:variant>
        <vt:i4>260</vt:i4>
      </vt:variant>
      <vt:variant>
        <vt:i4>0</vt:i4>
      </vt:variant>
      <vt:variant>
        <vt:i4>5</vt:i4>
      </vt:variant>
      <vt:variant>
        <vt:lpwstr/>
      </vt:variant>
      <vt:variant>
        <vt:lpwstr>_Toc222836955</vt:lpwstr>
      </vt:variant>
      <vt:variant>
        <vt:i4>1966138</vt:i4>
      </vt:variant>
      <vt:variant>
        <vt:i4>254</vt:i4>
      </vt:variant>
      <vt:variant>
        <vt:i4>0</vt:i4>
      </vt:variant>
      <vt:variant>
        <vt:i4>5</vt:i4>
      </vt:variant>
      <vt:variant>
        <vt:lpwstr/>
      </vt:variant>
      <vt:variant>
        <vt:lpwstr>_Toc222836954</vt:lpwstr>
      </vt:variant>
      <vt:variant>
        <vt:i4>1966138</vt:i4>
      </vt:variant>
      <vt:variant>
        <vt:i4>248</vt:i4>
      </vt:variant>
      <vt:variant>
        <vt:i4>0</vt:i4>
      </vt:variant>
      <vt:variant>
        <vt:i4>5</vt:i4>
      </vt:variant>
      <vt:variant>
        <vt:lpwstr/>
      </vt:variant>
      <vt:variant>
        <vt:lpwstr>_Toc222836953</vt:lpwstr>
      </vt:variant>
      <vt:variant>
        <vt:i4>1966138</vt:i4>
      </vt:variant>
      <vt:variant>
        <vt:i4>242</vt:i4>
      </vt:variant>
      <vt:variant>
        <vt:i4>0</vt:i4>
      </vt:variant>
      <vt:variant>
        <vt:i4>5</vt:i4>
      </vt:variant>
      <vt:variant>
        <vt:lpwstr/>
      </vt:variant>
      <vt:variant>
        <vt:lpwstr>_Toc222836952</vt:lpwstr>
      </vt:variant>
      <vt:variant>
        <vt:i4>1966138</vt:i4>
      </vt:variant>
      <vt:variant>
        <vt:i4>236</vt:i4>
      </vt:variant>
      <vt:variant>
        <vt:i4>0</vt:i4>
      </vt:variant>
      <vt:variant>
        <vt:i4>5</vt:i4>
      </vt:variant>
      <vt:variant>
        <vt:lpwstr/>
      </vt:variant>
      <vt:variant>
        <vt:lpwstr>_Toc222836951</vt:lpwstr>
      </vt:variant>
      <vt:variant>
        <vt:i4>1966138</vt:i4>
      </vt:variant>
      <vt:variant>
        <vt:i4>230</vt:i4>
      </vt:variant>
      <vt:variant>
        <vt:i4>0</vt:i4>
      </vt:variant>
      <vt:variant>
        <vt:i4>5</vt:i4>
      </vt:variant>
      <vt:variant>
        <vt:lpwstr/>
      </vt:variant>
      <vt:variant>
        <vt:lpwstr>_Toc222836950</vt:lpwstr>
      </vt:variant>
      <vt:variant>
        <vt:i4>2031674</vt:i4>
      </vt:variant>
      <vt:variant>
        <vt:i4>224</vt:i4>
      </vt:variant>
      <vt:variant>
        <vt:i4>0</vt:i4>
      </vt:variant>
      <vt:variant>
        <vt:i4>5</vt:i4>
      </vt:variant>
      <vt:variant>
        <vt:lpwstr/>
      </vt:variant>
      <vt:variant>
        <vt:lpwstr>_Toc222836949</vt:lpwstr>
      </vt:variant>
      <vt:variant>
        <vt:i4>2031674</vt:i4>
      </vt:variant>
      <vt:variant>
        <vt:i4>218</vt:i4>
      </vt:variant>
      <vt:variant>
        <vt:i4>0</vt:i4>
      </vt:variant>
      <vt:variant>
        <vt:i4>5</vt:i4>
      </vt:variant>
      <vt:variant>
        <vt:lpwstr/>
      </vt:variant>
      <vt:variant>
        <vt:lpwstr>_Toc222836948</vt:lpwstr>
      </vt:variant>
      <vt:variant>
        <vt:i4>2031674</vt:i4>
      </vt:variant>
      <vt:variant>
        <vt:i4>212</vt:i4>
      </vt:variant>
      <vt:variant>
        <vt:i4>0</vt:i4>
      </vt:variant>
      <vt:variant>
        <vt:i4>5</vt:i4>
      </vt:variant>
      <vt:variant>
        <vt:lpwstr/>
      </vt:variant>
      <vt:variant>
        <vt:lpwstr>_Toc222836947</vt:lpwstr>
      </vt:variant>
      <vt:variant>
        <vt:i4>2031674</vt:i4>
      </vt:variant>
      <vt:variant>
        <vt:i4>206</vt:i4>
      </vt:variant>
      <vt:variant>
        <vt:i4>0</vt:i4>
      </vt:variant>
      <vt:variant>
        <vt:i4>5</vt:i4>
      </vt:variant>
      <vt:variant>
        <vt:lpwstr/>
      </vt:variant>
      <vt:variant>
        <vt:lpwstr>_Toc222836946</vt:lpwstr>
      </vt:variant>
      <vt:variant>
        <vt:i4>2031674</vt:i4>
      </vt:variant>
      <vt:variant>
        <vt:i4>200</vt:i4>
      </vt:variant>
      <vt:variant>
        <vt:i4>0</vt:i4>
      </vt:variant>
      <vt:variant>
        <vt:i4>5</vt:i4>
      </vt:variant>
      <vt:variant>
        <vt:lpwstr/>
      </vt:variant>
      <vt:variant>
        <vt:lpwstr>_Toc222836945</vt:lpwstr>
      </vt:variant>
      <vt:variant>
        <vt:i4>2031674</vt:i4>
      </vt:variant>
      <vt:variant>
        <vt:i4>194</vt:i4>
      </vt:variant>
      <vt:variant>
        <vt:i4>0</vt:i4>
      </vt:variant>
      <vt:variant>
        <vt:i4>5</vt:i4>
      </vt:variant>
      <vt:variant>
        <vt:lpwstr/>
      </vt:variant>
      <vt:variant>
        <vt:lpwstr>_Toc222836944</vt:lpwstr>
      </vt:variant>
      <vt:variant>
        <vt:i4>2031674</vt:i4>
      </vt:variant>
      <vt:variant>
        <vt:i4>188</vt:i4>
      </vt:variant>
      <vt:variant>
        <vt:i4>0</vt:i4>
      </vt:variant>
      <vt:variant>
        <vt:i4>5</vt:i4>
      </vt:variant>
      <vt:variant>
        <vt:lpwstr/>
      </vt:variant>
      <vt:variant>
        <vt:lpwstr>_Toc222836943</vt:lpwstr>
      </vt:variant>
      <vt:variant>
        <vt:i4>2031674</vt:i4>
      </vt:variant>
      <vt:variant>
        <vt:i4>182</vt:i4>
      </vt:variant>
      <vt:variant>
        <vt:i4>0</vt:i4>
      </vt:variant>
      <vt:variant>
        <vt:i4>5</vt:i4>
      </vt:variant>
      <vt:variant>
        <vt:lpwstr/>
      </vt:variant>
      <vt:variant>
        <vt:lpwstr>_Toc222836942</vt:lpwstr>
      </vt:variant>
      <vt:variant>
        <vt:i4>2031674</vt:i4>
      </vt:variant>
      <vt:variant>
        <vt:i4>176</vt:i4>
      </vt:variant>
      <vt:variant>
        <vt:i4>0</vt:i4>
      </vt:variant>
      <vt:variant>
        <vt:i4>5</vt:i4>
      </vt:variant>
      <vt:variant>
        <vt:lpwstr/>
      </vt:variant>
      <vt:variant>
        <vt:lpwstr>_Toc222836941</vt:lpwstr>
      </vt:variant>
      <vt:variant>
        <vt:i4>2031674</vt:i4>
      </vt:variant>
      <vt:variant>
        <vt:i4>170</vt:i4>
      </vt:variant>
      <vt:variant>
        <vt:i4>0</vt:i4>
      </vt:variant>
      <vt:variant>
        <vt:i4>5</vt:i4>
      </vt:variant>
      <vt:variant>
        <vt:lpwstr/>
      </vt:variant>
      <vt:variant>
        <vt:lpwstr>_Toc222836940</vt:lpwstr>
      </vt:variant>
      <vt:variant>
        <vt:i4>1572922</vt:i4>
      </vt:variant>
      <vt:variant>
        <vt:i4>164</vt:i4>
      </vt:variant>
      <vt:variant>
        <vt:i4>0</vt:i4>
      </vt:variant>
      <vt:variant>
        <vt:i4>5</vt:i4>
      </vt:variant>
      <vt:variant>
        <vt:lpwstr/>
      </vt:variant>
      <vt:variant>
        <vt:lpwstr>_Toc222836939</vt:lpwstr>
      </vt:variant>
      <vt:variant>
        <vt:i4>1572922</vt:i4>
      </vt:variant>
      <vt:variant>
        <vt:i4>158</vt:i4>
      </vt:variant>
      <vt:variant>
        <vt:i4>0</vt:i4>
      </vt:variant>
      <vt:variant>
        <vt:i4>5</vt:i4>
      </vt:variant>
      <vt:variant>
        <vt:lpwstr/>
      </vt:variant>
      <vt:variant>
        <vt:lpwstr>_Toc222836938</vt:lpwstr>
      </vt:variant>
      <vt:variant>
        <vt:i4>1572922</vt:i4>
      </vt:variant>
      <vt:variant>
        <vt:i4>152</vt:i4>
      </vt:variant>
      <vt:variant>
        <vt:i4>0</vt:i4>
      </vt:variant>
      <vt:variant>
        <vt:i4>5</vt:i4>
      </vt:variant>
      <vt:variant>
        <vt:lpwstr/>
      </vt:variant>
      <vt:variant>
        <vt:lpwstr>_Toc222836937</vt:lpwstr>
      </vt:variant>
      <vt:variant>
        <vt:i4>1572922</vt:i4>
      </vt:variant>
      <vt:variant>
        <vt:i4>146</vt:i4>
      </vt:variant>
      <vt:variant>
        <vt:i4>0</vt:i4>
      </vt:variant>
      <vt:variant>
        <vt:i4>5</vt:i4>
      </vt:variant>
      <vt:variant>
        <vt:lpwstr/>
      </vt:variant>
      <vt:variant>
        <vt:lpwstr>_Toc222836936</vt:lpwstr>
      </vt:variant>
      <vt:variant>
        <vt:i4>1572922</vt:i4>
      </vt:variant>
      <vt:variant>
        <vt:i4>140</vt:i4>
      </vt:variant>
      <vt:variant>
        <vt:i4>0</vt:i4>
      </vt:variant>
      <vt:variant>
        <vt:i4>5</vt:i4>
      </vt:variant>
      <vt:variant>
        <vt:lpwstr/>
      </vt:variant>
      <vt:variant>
        <vt:lpwstr>_Toc222836935</vt:lpwstr>
      </vt:variant>
      <vt:variant>
        <vt:i4>1572922</vt:i4>
      </vt:variant>
      <vt:variant>
        <vt:i4>134</vt:i4>
      </vt:variant>
      <vt:variant>
        <vt:i4>0</vt:i4>
      </vt:variant>
      <vt:variant>
        <vt:i4>5</vt:i4>
      </vt:variant>
      <vt:variant>
        <vt:lpwstr/>
      </vt:variant>
      <vt:variant>
        <vt:lpwstr>_Toc222836934</vt:lpwstr>
      </vt:variant>
      <vt:variant>
        <vt:i4>1572922</vt:i4>
      </vt:variant>
      <vt:variant>
        <vt:i4>128</vt:i4>
      </vt:variant>
      <vt:variant>
        <vt:i4>0</vt:i4>
      </vt:variant>
      <vt:variant>
        <vt:i4>5</vt:i4>
      </vt:variant>
      <vt:variant>
        <vt:lpwstr/>
      </vt:variant>
      <vt:variant>
        <vt:lpwstr>_Toc222836933</vt:lpwstr>
      </vt:variant>
      <vt:variant>
        <vt:i4>1572922</vt:i4>
      </vt:variant>
      <vt:variant>
        <vt:i4>122</vt:i4>
      </vt:variant>
      <vt:variant>
        <vt:i4>0</vt:i4>
      </vt:variant>
      <vt:variant>
        <vt:i4>5</vt:i4>
      </vt:variant>
      <vt:variant>
        <vt:lpwstr/>
      </vt:variant>
      <vt:variant>
        <vt:lpwstr>_Toc222836932</vt:lpwstr>
      </vt:variant>
      <vt:variant>
        <vt:i4>1572922</vt:i4>
      </vt:variant>
      <vt:variant>
        <vt:i4>116</vt:i4>
      </vt:variant>
      <vt:variant>
        <vt:i4>0</vt:i4>
      </vt:variant>
      <vt:variant>
        <vt:i4>5</vt:i4>
      </vt:variant>
      <vt:variant>
        <vt:lpwstr/>
      </vt:variant>
      <vt:variant>
        <vt:lpwstr>_Toc222836931</vt:lpwstr>
      </vt:variant>
      <vt:variant>
        <vt:i4>1572922</vt:i4>
      </vt:variant>
      <vt:variant>
        <vt:i4>110</vt:i4>
      </vt:variant>
      <vt:variant>
        <vt:i4>0</vt:i4>
      </vt:variant>
      <vt:variant>
        <vt:i4>5</vt:i4>
      </vt:variant>
      <vt:variant>
        <vt:lpwstr/>
      </vt:variant>
      <vt:variant>
        <vt:lpwstr>_Toc222836930</vt:lpwstr>
      </vt:variant>
      <vt:variant>
        <vt:i4>1638458</vt:i4>
      </vt:variant>
      <vt:variant>
        <vt:i4>104</vt:i4>
      </vt:variant>
      <vt:variant>
        <vt:i4>0</vt:i4>
      </vt:variant>
      <vt:variant>
        <vt:i4>5</vt:i4>
      </vt:variant>
      <vt:variant>
        <vt:lpwstr/>
      </vt:variant>
      <vt:variant>
        <vt:lpwstr>_Toc222836929</vt:lpwstr>
      </vt:variant>
      <vt:variant>
        <vt:i4>1638458</vt:i4>
      </vt:variant>
      <vt:variant>
        <vt:i4>98</vt:i4>
      </vt:variant>
      <vt:variant>
        <vt:i4>0</vt:i4>
      </vt:variant>
      <vt:variant>
        <vt:i4>5</vt:i4>
      </vt:variant>
      <vt:variant>
        <vt:lpwstr/>
      </vt:variant>
      <vt:variant>
        <vt:lpwstr>_Toc222836928</vt:lpwstr>
      </vt:variant>
      <vt:variant>
        <vt:i4>1638458</vt:i4>
      </vt:variant>
      <vt:variant>
        <vt:i4>92</vt:i4>
      </vt:variant>
      <vt:variant>
        <vt:i4>0</vt:i4>
      </vt:variant>
      <vt:variant>
        <vt:i4>5</vt:i4>
      </vt:variant>
      <vt:variant>
        <vt:lpwstr/>
      </vt:variant>
      <vt:variant>
        <vt:lpwstr>_Toc222836927</vt:lpwstr>
      </vt:variant>
      <vt:variant>
        <vt:i4>1638458</vt:i4>
      </vt:variant>
      <vt:variant>
        <vt:i4>86</vt:i4>
      </vt:variant>
      <vt:variant>
        <vt:i4>0</vt:i4>
      </vt:variant>
      <vt:variant>
        <vt:i4>5</vt:i4>
      </vt:variant>
      <vt:variant>
        <vt:lpwstr/>
      </vt:variant>
      <vt:variant>
        <vt:lpwstr>_Toc222836926</vt:lpwstr>
      </vt:variant>
      <vt:variant>
        <vt:i4>1638458</vt:i4>
      </vt:variant>
      <vt:variant>
        <vt:i4>80</vt:i4>
      </vt:variant>
      <vt:variant>
        <vt:i4>0</vt:i4>
      </vt:variant>
      <vt:variant>
        <vt:i4>5</vt:i4>
      </vt:variant>
      <vt:variant>
        <vt:lpwstr/>
      </vt:variant>
      <vt:variant>
        <vt:lpwstr>_Toc222836925</vt:lpwstr>
      </vt:variant>
      <vt:variant>
        <vt:i4>1638458</vt:i4>
      </vt:variant>
      <vt:variant>
        <vt:i4>74</vt:i4>
      </vt:variant>
      <vt:variant>
        <vt:i4>0</vt:i4>
      </vt:variant>
      <vt:variant>
        <vt:i4>5</vt:i4>
      </vt:variant>
      <vt:variant>
        <vt:lpwstr/>
      </vt:variant>
      <vt:variant>
        <vt:lpwstr>_Toc222836924</vt:lpwstr>
      </vt:variant>
      <vt:variant>
        <vt:i4>1638458</vt:i4>
      </vt:variant>
      <vt:variant>
        <vt:i4>68</vt:i4>
      </vt:variant>
      <vt:variant>
        <vt:i4>0</vt:i4>
      </vt:variant>
      <vt:variant>
        <vt:i4>5</vt:i4>
      </vt:variant>
      <vt:variant>
        <vt:lpwstr/>
      </vt:variant>
      <vt:variant>
        <vt:lpwstr>_Toc222836923</vt:lpwstr>
      </vt:variant>
      <vt:variant>
        <vt:i4>1638458</vt:i4>
      </vt:variant>
      <vt:variant>
        <vt:i4>62</vt:i4>
      </vt:variant>
      <vt:variant>
        <vt:i4>0</vt:i4>
      </vt:variant>
      <vt:variant>
        <vt:i4>5</vt:i4>
      </vt:variant>
      <vt:variant>
        <vt:lpwstr/>
      </vt:variant>
      <vt:variant>
        <vt:lpwstr>_Toc222836922</vt:lpwstr>
      </vt:variant>
      <vt:variant>
        <vt:i4>1638458</vt:i4>
      </vt:variant>
      <vt:variant>
        <vt:i4>56</vt:i4>
      </vt:variant>
      <vt:variant>
        <vt:i4>0</vt:i4>
      </vt:variant>
      <vt:variant>
        <vt:i4>5</vt:i4>
      </vt:variant>
      <vt:variant>
        <vt:lpwstr/>
      </vt:variant>
      <vt:variant>
        <vt:lpwstr>_Toc222836921</vt:lpwstr>
      </vt:variant>
      <vt:variant>
        <vt:i4>1638458</vt:i4>
      </vt:variant>
      <vt:variant>
        <vt:i4>50</vt:i4>
      </vt:variant>
      <vt:variant>
        <vt:i4>0</vt:i4>
      </vt:variant>
      <vt:variant>
        <vt:i4>5</vt:i4>
      </vt:variant>
      <vt:variant>
        <vt:lpwstr/>
      </vt:variant>
      <vt:variant>
        <vt:lpwstr>_Toc222836920</vt:lpwstr>
      </vt:variant>
      <vt:variant>
        <vt:i4>1703994</vt:i4>
      </vt:variant>
      <vt:variant>
        <vt:i4>44</vt:i4>
      </vt:variant>
      <vt:variant>
        <vt:i4>0</vt:i4>
      </vt:variant>
      <vt:variant>
        <vt:i4>5</vt:i4>
      </vt:variant>
      <vt:variant>
        <vt:lpwstr/>
      </vt:variant>
      <vt:variant>
        <vt:lpwstr>_Toc222836919</vt:lpwstr>
      </vt:variant>
      <vt:variant>
        <vt:i4>1703994</vt:i4>
      </vt:variant>
      <vt:variant>
        <vt:i4>38</vt:i4>
      </vt:variant>
      <vt:variant>
        <vt:i4>0</vt:i4>
      </vt:variant>
      <vt:variant>
        <vt:i4>5</vt:i4>
      </vt:variant>
      <vt:variant>
        <vt:lpwstr/>
      </vt:variant>
      <vt:variant>
        <vt:lpwstr>_Toc222836918</vt:lpwstr>
      </vt:variant>
      <vt:variant>
        <vt:i4>1703994</vt:i4>
      </vt:variant>
      <vt:variant>
        <vt:i4>32</vt:i4>
      </vt:variant>
      <vt:variant>
        <vt:i4>0</vt:i4>
      </vt:variant>
      <vt:variant>
        <vt:i4>5</vt:i4>
      </vt:variant>
      <vt:variant>
        <vt:lpwstr/>
      </vt:variant>
      <vt:variant>
        <vt:lpwstr>_Toc222836917</vt:lpwstr>
      </vt:variant>
      <vt:variant>
        <vt:i4>1703994</vt:i4>
      </vt:variant>
      <vt:variant>
        <vt:i4>26</vt:i4>
      </vt:variant>
      <vt:variant>
        <vt:i4>0</vt:i4>
      </vt:variant>
      <vt:variant>
        <vt:i4>5</vt:i4>
      </vt:variant>
      <vt:variant>
        <vt:lpwstr/>
      </vt:variant>
      <vt:variant>
        <vt:lpwstr>_Toc222836916</vt:lpwstr>
      </vt:variant>
      <vt:variant>
        <vt:i4>1703994</vt:i4>
      </vt:variant>
      <vt:variant>
        <vt:i4>20</vt:i4>
      </vt:variant>
      <vt:variant>
        <vt:i4>0</vt:i4>
      </vt:variant>
      <vt:variant>
        <vt:i4>5</vt:i4>
      </vt:variant>
      <vt:variant>
        <vt:lpwstr/>
      </vt:variant>
      <vt:variant>
        <vt:lpwstr>_Toc222836915</vt:lpwstr>
      </vt:variant>
      <vt:variant>
        <vt:i4>1703994</vt:i4>
      </vt:variant>
      <vt:variant>
        <vt:i4>14</vt:i4>
      </vt:variant>
      <vt:variant>
        <vt:i4>0</vt:i4>
      </vt:variant>
      <vt:variant>
        <vt:i4>5</vt:i4>
      </vt:variant>
      <vt:variant>
        <vt:lpwstr/>
      </vt:variant>
      <vt:variant>
        <vt:lpwstr>_Toc222836914</vt:lpwstr>
      </vt:variant>
      <vt:variant>
        <vt:i4>1703994</vt:i4>
      </vt:variant>
      <vt:variant>
        <vt:i4>8</vt:i4>
      </vt:variant>
      <vt:variant>
        <vt:i4>0</vt:i4>
      </vt:variant>
      <vt:variant>
        <vt:i4>5</vt:i4>
      </vt:variant>
      <vt:variant>
        <vt:lpwstr/>
      </vt:variant>
      <vt:variant>
        <vt:lpwstr>_Toc222836913</vt:lpwstr>
      </vt:variant>
      <vt:variant>
        <vt:i4>1703994</vt:i4>
      </vt:variant>
      <vt:variant>
        <vt:i4>2</vt:i4>
      </vt:variant>
      <vt:variant>
        <vt:i4>0</vt:i4>
      </vt:variant>
      <vt:variant>
        <vt:i4>5</vt:i4>
      </vt:variant>
      <vt:variant>
        <vt:lpwstr/>
      </vt:variant>
      <vt:variant>
        <vt:lpwstr>_Toc222836912</vt:lpwstr>
      </vt:variant>
      <vt:variant>
        <vt:i4>5046293</vt:i4>
      </vt:variant>
      <vt:variant>
        <vt:i4>15</vt:i4>
      </vt:variant>
      <vt:variant>
        <vt:i4>0</vt:i4>
      </vt:variant>
      <vt:variant>
        <vt:i4>5</vt:i4>
      </vt:variant>
      <vt:variant>
        <vt:lpwstr>https://www.europol.europa.eu/cms/sites/default/files/documents/EU-SOCTA-2025.pdf</vt:lpwstr>
      </vt:variant>
      <vt:variant>
        <vt:lpwstr/>
      </vt:variant>
      <vt:variant>
        <vt:i4>7995427</vt:i4>
      </vt:variant>
      <vt:variant>
        <vt:i4>12</vt:i4>
      </vt:variant>
      <vt:variant>
        <vt:i4>0</vt:i4>
      </vt:variant>
      <vt:variant>
        <vt:i4>5</vt:i4>
      </vt:variant>
      <vt:variant>
        <vt:lpwstr>https://eur-lex.europa.eu/legal-content/EN/TXT/?uri=CELEX%3A52025DC0148</vt:lpwstr>
      </vt:variant>
      <vt:variant>
        <vt:lpwstr/>
      </vt:variant>
      <vt:variant>
        <vt:i4>3407997</vt:i4>
      </vt:variant>
      <vt:variant>
        <vt:i4>9</vt:i4>
      </vt:variant>
      <vt:variant>
        <vt:i4>0</vt:i4>
      </vt:variant>
      <vt:variant>
        <vt:i4>5</vt:i4>
      </vt:variant>
      <vt:variant>
        <vt:lpwstr>https://www.eurojust.europa.eu/publication/eurojust-report-money-laundering</vt:lpwstr>
      </vt:variant>
      <vt:variant>
        <vt:lpwstr/>
      </vt:variant>
      <vt:variant>
        <vt:i4>1835101</vt:i4>
      </vt:variant>
      <vt:variant>
        <vt:i4>6</vt:i4>
      </vt:variant>
      <vt:variant>
        <vt:i4>0</vt:i4>
      </vt:variant>
      <vt:variant>
        <vt:i4>5</vt:i4>
      </vt:variant>
      <vt:variant>
        <vt:lpwstr>https://eur-lex.europa.eu/eli/dir/2015/849/oj/eng</vt:lpwstr>
      </vt:variant>
      <vt:variant>
        <vt:lpwstr/>
      </vt:variant>
      <vt:variant>
        <vt:i4>524310</vt:i4>
      </vt:variant>
      <vt:variant>
        <vt:i4>3</vt:i4>
      </vt:variant>
      <vt:variant>
        <vt:i4>0</vt:i4>
      </vt:variant>
      <vt:variant>
        <vt:i4>5</vt:i4>
      </vt:variant>
      <vt:variant>
        <vt:lpwstr>https://ec.europa.eu/info/sites/info/files/better-regulation-guidelines-evaluation-fitness-checks.pdf</vt:lpwstr>
      </vt:variant>
      <vt:variant>
        <vt:lpwstr/>
      </vt:variant>
      <vt:variant>
        <vt:i4>7340156</vt:i4>
      </vt:variant>
      <vt:variant>
        <vt:i4>0</vt:i4>
      </vt:variant>
      <vt:variant>
        <vt:i4>0</vt:i4>
      </vt:variant>
      <vt:variant>
        <vt:i4>5</vt:i4>
      </vt:variant>
      <vt:variant>
        <vt:lpwstr>https://eur-lex.europa.eu/legal-content/EN/TXT/?uri=celex%3A32018L1673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9</cp:revision>
  <cp:lastPrinted>2025-12-11T23:39:00Z</cp:lastPrinted>
  <dcterms:created xsi:type="dcterms:W3CDTF">2026-03-23T13:18:00Z</dcterms:created>
  <dcterms:modified xsi:type="dcterms:W3CDTF">2026-06-10T08:32:00Z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MSIP_Label_6bd9ddd1-4d20-43f6-abfa-fc3c07406f94_Enabled">
    <vt:lpwstr>true</vt:lpwstr>
  </property>
  <property fmtid="{D5CDD505-2E9C-101B-9397-08002B2CF9AE}" pid="8" name="MSIP_Label_6bd9ddd1-4d20-43f6-abfa-fc3c07406f94_SetDate">
    <vt:lpwstr>2025-03-21T13:52:23Z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9fec1467-f285-442d-84bf-bab4d8430c8e</vt:lpwstr>
  </property>
  <property fmtid="{D5CDD505-2E9C-101B-9397-08002B2CF9AE}" pid="13" name="MSIP_Label_6bd9ddd1-4d20-43f6-abfa-fc3c07406f94_ContentBits">
    <vt:lpwstr>0</vt:lpwstr>
  </property>
  <property fmtid="{D5CDD505-2E9C-101B-9397-08002B2CF9AE}" pid="14" name="ContentTypeId">
    <vt:lpwstr>0x010100BAC49111DA9BD745A0EB6E7980F333A8</vt:lpwstr>
  </property>
  <property fmtid="{D5CDD505-2E9C-101B-9397-08002B2CF9AE}" pid="15" name="CPTemplateID">
    <vt:lpwstr>CP-053</vt:lpwstr>
  </property>
  <property fmtid="{D5CDD505-2E9C-101B-9397-08002B2CF9AE}" pid="16" name="TaxKeyword">
    <vt:lpwstr/>
  </property>
  <property fmtid="{D5CDD505-2E9C-101B-9397-08002B2CF9AE}" pid="17" name="MediaServiceImageTags">
    <vt:lpwstr/>
  </property>
  <property fmtid="{D5CDD505-2E9C-101B-9397-08002B2CF9AE}" pid="18" name="Responsible_x0020_unit_x0020_">
    <vt:lpwstr>151;#SG.C.2|c917e1f5-7912-4eb9-962c-e792a6657685</vt:lpwstr>
  </property>
  <property fmtid="{D5CDD505-2E9C-101B-9397-08002B2CF9AE}" pid="19" name="Responsible unit ">
    <vt:lpwstr>151;#SG.C.2|c917e1f5-7912-4eb9-962c-e792a6657685</vt:lpwstr>
  </property>
  <property fmtid="{D5CDD505-2E9C-101B-9397-08002B2CF9AE}" pid="20" name="Responsible unit">
    <vt:lpwstr/>
  </property>
</Properties>
</file>